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CURRENT REPORT PURSUANT</w:t>
      </w:r>
    </w:p>
    <w:p>
      <w:pPr>
        <w:spacing w:after="0" w:line="3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TO SECTION 13 OR 15(d) OF THE</w:t>
      </w:r>
    </w:p>
    <w:p>
      <w:pPr>
        <w:spacing w:after="0" w:line="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31,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Impac Mortgage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3" w:lineRule="exact"/>
        <w:rPr>
          <w:sz w:val="24"/>
          <w:szCs w:val="24"/>
          <w:color w:val="auto"/>
        </w:rPr>
      </w:pPr>
    </w:p>
    <w:tbl>
      <w:tblPr>
        <w:tblLayout w:type="fixed"/>
        <w:tblInd w:w="1240" w:type="dxa"/>
        <w:tblCellMar>
          <w:top w:w="0" w:type="dxa"/>
          <w:left w:w="0" w:type="dxa"/>
          <w:bottom w:w="0" w:type="dxa"/>
          <w:right w:w="0" w:type="dxa"/>
        </w:tblCellMar>
      </w:tblPr>
      <w:tr>
        <w:trPr>
          <w:trHeight w:val="220"/>
        </w:trPr>
        <w:tc>
          <w:tcPr>
            <w:tcW w:w="456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1-14100</w:t>
            </w:r>
          </w:p>
        </w:tc>
        <w:tc>
          <w:tcPr>
            <w:tcW w:w="388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33-0675505</w:t>
            </w:r>
          </w:p>
        </w:tc>
      </w:tr>
      <w:tr>
        <w:trPr>
          <w:trHeight w:val="234"/>
        </w:trPr>
        <w:tc>
          <w:tcPr>
            <w:tcW w:w="456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rPr>
              <w:t>(Commission File Number)</w:t>
            </w:r>
          </w:p>
        </w:tc>
        <w:tc>
          <w:tcPr>
            <w:tcW w:w="388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456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9"/>
              </w:rPr>
              <w:t>19500 Jamboree Road, Irvine, California</w:t>
            </w:r>
          </w:p>
        </w:tc>
        <w:tc>
          <w:tcPr>
            <w:tcW w:w="38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92612</w:t>
            </w:r>
          </w:p>
        </w:tc>
      </w:tr>
      <w:tr>
        <w:trPr>
          <w:trHeight w:val="234"/>
        </w:trPr>
        <w:tc>
          <w:tcPr>
            <w:tcW w:w="456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88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(949) 475-3600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420" w:firstLine="27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60" w:hanging="22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22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22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22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400" w:type="dxa"/>
            <w:vAlign w:val="bottom"/>
            <w:tcBorders>
              <w:top w:val="single" w:sz="8" w:color="auto"/>
              <w:left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820" w:type="dxa"/>
            <w:vAlign w:val="bottom"/>
            <w:tcBorders>
              <w:bottom w:val="single" w:sz="8" w:color="auto"/>
              <w:right w:val="single" w:sz="8" w:color="auto"/>
            </w:tcBorders>
          </w:tcPr>
          <w:p>
            <w:pPr>
              <w:spacing w:after="0"/>
              <w:rPr>
                <w:sz w:val="2"/>
                <w:szCs w:val="2"/>
                <w:color w:val="auto"/>
              </w:rPr>
            </w:pPr>
          </w:p>
        </w:tc>
      </w:tr>
      <w:tr>
        <w:trPr>
          <w:trHeight w:val="236"/>
        </w:trPr>
        <w:tc>
          <w:tcPr>
            <w:tcW w:w="3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IMH</w:t>
            </w:r>
          </w:p>
        </w:tc>
        <w:tc>
          <w:tcPr>
            <w:tcW w:w="5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r>
        <w:trPr>
          <w:trHeight w:val="27"/>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820" w:type="dxa"/>
            <w:vAlign w:val="bottom"/>
            <w:tcBorders>
              <w:bottom w:val="single" w:sz="8" w:color="auto"/>
              <w:right w:val="single" w:sz="8" w:color="auto"/>
            </w:tcBorders>
          </w:tcPr>
          <w:p>
            <w:pPr>
              <w:spacing w:after="0"/>
              <w:rPr>
                <w:sz w:val="2"/>
                <w:szCs w:val="2"/>
                <w:color w:val="auto"/>
              </w:rPr>
            </w:pPr>
          </w:p>
        </w:tc>
      </w:tr>
      <w:tr>
        <w:trPr>
          <w:trHeight w:val="236"/>
        </w:trPr>
        <w:tc>
          <w:tcPr>
            <w:tcW w:w="3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IMH</w:t>
            </w:r>
          </w:p>
        </w:tc>
        <w:tc>
          <w:tcPr>
            <w:tcW w:w="5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r>
        <w:trPr>
          <w:trHeight w:val="27"/>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820" w:type="dxa"/>
            <w:vAlign w:val="bottom"/>
            <w:tcBorders>
              <w:bottom w:val="single" w:sz="8" w:color="auto"/>
              <w:right w:val="single" w:sz="8" w:color="auto"/>
            </w:tcBorders>
          </w:tcPr>
          <w:p>
            <w:pPr>
              <w:spacing w:after="0"/>
              <w:rPr>
                <w:sz w:val="2"/>
                <w:szCs w:val="2"/>
                <w:color w:val="auto"/>
              </w:rPr>
            </w:pPr>
          </w:p>
        </w:tc>
      </w:tr>
      <w:tr>
        <w:trPr>
          <w:trHeight w:val="210"/>
        </w:trPr>
        <w:tc>
          <w:tcPr>
            <w:tcW w:w="34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5820" w:type="dxa"/>
            <w:vAlign w:val="bottom"/>
            <w:tcBorders>
              <w:bottom w:val="single" w:sz="8" w:color="auto"/>
            </w:tcBorders>
          </w:tcPr>
          <w:p>
            <w:pPr>
              <w:spacing w:after="0"/>
              <w:rPr>
                <w:sz w:val="18"/>
                <w:szCs w:val="18"/>
                <w:color w:val="auto"/>
              </w:rPr>
            </w:pPr>
          </w:p>
        </w:tc>
      </w:tr>
      <w:tr>
        <w:trPr>
          <w:trHeight w:val="28"/>
        </w:trPr>
        <w:tc>
          <w:tcPr>
            <w:tcW w:w="3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675"/>
        </w:trPr>
        <w:tc>
          <w:tcPr>
            <w:tcW w:w="34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4" w:right="339" w:bottom="144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 of Certain Officers.</w:t>
      </w:r>
    </w:p>
    <w:p>
      <w:pPr>
        <w:spacing w:after="0" w:line="15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On March 31, 2022, Mr. Stewart Koenigsberg informed Impac Mortgage Holdings, Inc. (the “Company”) that he will not be standing for re-election at the Company’s 2022 Annual Meeting of Stockholders, which is currently scheduled for June 21, 2022. Mr. Koenigsberg was elected to the Company’s Board of Directors in 2018 and currently serves on the audit and governance and nomination committees. Mr. Koenigsberg will continue to serve on those committees for the remainder of his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IMPAC MORTGAGE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4, 2022</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Joffrion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 Joffrion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111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2022-04-04T15:55:47Z</dcterms:created>
  <dcterms:modified xsi:type="dcterms:W3CDTF">2022-04-04T15:55:47Z</dcterms:modified>
</cp:coreProperties>
</file>