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-603250</wp:posOffset>
            </wp:positionV>
            <wp:extent cx="57150" cy="616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6998335" cy="5635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56356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RHP Trust, dated May 31, 2011</w:t>
        </w:r>
      </w:hyperlink>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2"/>
                <w:szCs w:val="12"/>
                <w:color w:val="auto"/>
              </w:rPr>
              <w:t>(Last)</w:t>
            </w:r>
          </w:p>
        </w:tc>
        <w:tc>
          <w:tcPr>
            <w:tcW w:w="1140" w:type="dxa"/>
            <w:vAlign w:val="bottom"/>
          </w:tcPr>
          <w:p>
            <w:pPr>
              <w:ind w:left="34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60"/>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2532 DUPONT DRIVE</w:t>
            </w:r>
          </w:p>
        </w:tc>
        <w:tc>
          <w:tcPr>
            <w:tcW w:w="162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47"/>
        </w:trPr>
        <w:tc>
          <w:tcPr>
            <w:tcW w:w="9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0000FF"/>
              </w:rPr>
              <w:t>IRVINE</w:t>
            </w:r>
          </w:p>
        </w:tc>
        <w:tc>
          <w:tcPr>
            <w:tcW w:w="1140" w:type="dxa"/>
            <w:vAlign w:val="bottom"/>
          </w:tcPr>
          <w:p>
            <w:pPr>
              <w:ind w:left="3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92612</w:t>
            </w:r>
          </w:p>
        </w:tc>
      </w:tr>
      <w:tr>
        <w:trPr>
          <w:trHeight w:val="143"/>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2"/>
                <w:szCs w:val="12"/>
                <w:color w:val="auto"/>
              </w:rPr>
              <w:t>(City)</w:t>
            </w:r>
          </w:p>
        </w:tc>
        <w:tc>
          <w:tcPr>
            <w:tcW w:w="1140" w:type="dxa"/>
            <w:vAlign w:val="bottom"/>
          </w:tcPr>
          <w:p>
            <w:pPr>
              <w:ind w:left="34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780" w:type="dxa"/>
            <w:vAlign w:val="bottom"/>
            <w:gridSpan w:val="3"/>
          </w:tcPr>
          <w:p>
            <w:pPr>
              <w:spacing w:after="0" w:line="206" w:lineRule="exact"/>
              <w:rPr>
                <w:rFonts w:ascii="Arial" w:cs="Arial" w:eastAsia="Arial" w:hAnsi="Arial"/>
                <w:sz w:val="20"/>
                <w:szCs w:val="20"/>
                <w:color w:val="0000EE"/>
                <w:w w:val="98"/>
              </w:rPr>
            </w:pPr>
            <w:hyperlink r:id="rId13">
              <w:r>
                <w:rPr>
                  <w:rFonts w:ascii="Arial" w:cs="Arial" w:eastAsia="Arial" w:hAnsi="Arial"/>
                  <w:sz w:val="20"/>
                  <w:szCs w:val="20"/>
                  <w:color w:val="0000EE"/>
                  <w:w w:val="98"/>
                </w:rPr>
                <w:t xml:space="preserve">IMPAC MORTGAGE HOLDINGS INC </w:t>
              </w:r>
            </w:hyperlink>
            <w:r>
              <w:rPr>
                <w:rFonts w:ascii="Arial" w:cs="Arial" w:eastAsia="Arial" w:hAnsi="Arial"/>
                <w:sz w:val="20"/>
                <w:szCs w:val="20"/>
                <w:color w:val="000000"/>
                <w:w w:val="98"/>
              </w:rPr>
              <w:t>[</w:t>
            </w:r>
            <w:r>
              <w:rPr>
                <w:rFonts w:ascii="Arial" w:cs="Arial" w:eastAsia="Arial" w:hAnsi="Arial"/>
                <w:sz w:val="20"/>
                <w:szCs w:val="20"/>
                <w:color w:val="0000EE"/>
                <w:w w:val="98"/>
              </w:rPr>
              <w:t xml:space="preserve"> </w:t>
            </w:r>
            <w:r>
              <w:rPr>
                <w:rFonts w:ascii="Arial" w:cs="Arial" w:eastAsia="Arial" w:hAnsi="Arial"/>
                <w:sz w:val="16"/>
                <w:szCs w:val="16"/>
                <w:color w:val="0000FF"/>
                <w:w w:val="98"/>
              </w:rPr>
              <w:t>IMH</w:t>
            </w:r>
          </w:p>
        </w:tc>
        <w:tc>
          <w:tcPr>
            <w:tcW w:w="166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
        </w:trPr>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w:t>
              </w:r>
            </w:hyperlink>
          </w:p>
        </w:tc>
        <w:tc>
          <w:tcPr>
            <w:tcW w:w="3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400" w:type="dxa"/>
            <w:vAlign w:val="bottom"/>
            <w:vMerge w:val="continue"/>
          </w:tcPr>
          <w:p>
            <w:pPr>
              <w:spacing w:after="0" w:line="20" w:lineRule="exact"/>
              <w:rPr>
                <w:sz w:val="1"/>
                <w:szCs w:val="1"/>
                <w:color w:val="auto"/>
              </w:rPr>
            </w:pPr>
          </w:p>
        </w:tc>
        <w:tc>
          <w:tcPr>
            <w:tcW w:w="1220" w:type="dxa"/>
            <w:vAlign w:val="bottom"/>
            <w:vMerge w:val="restart"/>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40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2"/>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below)</w:t>
            </w:r>
          </w:p>
        </w:tc>
        <w:tc>
          <w:tcPr>
            <w:tcW w:w="400" w:type="dxa"/>
            <w:vAlign w:val="bottom"/>
          </w:tcPr>
          <w:p>
            <w:pPr>
              <w:spacing w:after="0"/>
              <w:rPr>
                <w:sz w:val="12"/>
                <w:szCs w:val="12"/>
                <w:color w:val="auto"/>
              </w:rPr>
            </w:pPr>
          </w:p>
        </w:tc>
        <w:tc>
          <w:tcPr>
            <w:tcW w:w="1220" w:type="dxa"/>
            <w:vAlign w:val="bottom"/>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300" w:type="dxa"/>
            <w:vAlign w:val="bottom"/>
            <w:gridSpan w:val="3"/>
          </w:tcPr>
          <w:p>
            <w:pPr>
              <w:ind w:left="60"/>
              <w:spacing w:after="0"/>
              <w:rPr>
                <w:sz w:val="20"/>
                <w:szCs w:val="20"/>
                <w:color w:val="auto"/>
              </w:rPr>
            </w:pPr>
            <w:r>
              <w:rPr>
                <w:rFonts w:ascii="Arial" w:cs="Arial" w:eastAsia="Arial" w:hAnsi="Arial"/>
                <w:sz w:val="16"/>
                <w:szCs w:val="16"/>
                <w:color w:val="0000FF"/>
              </w:rPr>
              <w:t>04/12/2021</w:t>
            </w:r>
          </w:p>
        </w:tc>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1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80" w:type="dxa"/>
            <w:vAlign w:val="bottom"/>
            <w:gridSpan w:val="3"/>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368" w:lineRule="exact"/>
        <w:rPr>
          <w:sz w:val="20"/>
          <w:szCs w:val="20"/>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2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74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2800" w:type="dxa"/>
            <w:vAlign w:val="bottom"/>
            <w:gridSpan w:val="6"/>
          </w:tcPr>
          <w:p>
            <w:pPr>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2"/>
          </w:tcPr>
          <w:p>
            <w:pPr>
              <w:jc w:val="center"/>
              <w:ind w:left="572"/>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0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jc w:val="right"/>
              <w:ind w:right="111"/>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1"/>
                <w:szCs w:val="21"/>
                <w:color w:val="auto"/>
              </w:rPr>
            </w:pPr>
          </w:p>
        </w:tc>
        <w:tc>
          <w:tcPr>
            <w:tcW w:w="1760" w:type="dxa"/>
            <w:vAlign w:val="bottom"/>
            <w:gridSpan w:val="2"/>
          </w:tcPr>
          <w:p>
            <w:pPr>
              <w:jc w:val="center"/>
              <w:ind w:left="572"/>
              <w:spacing w:after="0"/>
              <w:rPr>
                <w:sz w:val="20"/>
                <w:szCs w:val="20"/>
                <w:color w:val="auto"/>
              </w:rPr>
            </w:pPr>
            <w:r>
              <w:rPr>
                <w:rFonts w:ascii="Arial" w:cs="Arial" w:eastAsia="Arial" w:hAnsi="Arial"/>
                <w:sz w:val="16"/>
                <w:szCs w:val="16"/>
                <w:color w:val="0000FF"/>
                <w:w w:val="89"/>
              </w:rPr>
              <w:t>04/12/2021</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2"/>
                <w:szCs w:val="12"/>
                <w:color w:val="0000FF"/>
              </w:rPr>
              <w:t>P</w:t>
            </w:r>
          </w:p>
        </w:tc>
        <w:tc>
          <w:tcPr>
            <w:tcW w:w="780" w:type="dxa"/>
            <w:vAlign w:val="bottom"/>
          </w:tcPr>
          <w:p>
            <w:pPr>
              <w:jc w:val="center"/>
              <w:ind w:left="252"/>
              <w:spacing w:after="0"/>
              <w:rPr>
                <w:sz w:val="20"/>
                <w:szCs w:val="20"/>
                <w:color w:val="auto"/>
              </w:rPr>
            </w:pPr>
            <w:r>
              <w:rPr>
                <w:rFonts w:ascii="Arial" w:cs="Arial" w:eastAsia="Arial" w:hAnsi="Arial"/>
                <w:sz w:val="16"/>
                <w:szCs w:val="16"/>
                <w:color w:val="0000FF"/>
                <w:w w:val="93"/>
              </w:rPr>
              <w:t>25,000</w:t>
            </w:r>
          </w:p>
        </w:tc>
        <w:tc>
          <w:tcPr>
            <w:tcW w:w="80" w:type="dxa"/>
            <w:vAlign w:val="bottom"/>
          </w:tcPr>
          <w:p>
            <w:pPr>
              <w:spacing w:after="0"/>
              <w:rPr>
                <w:sz w:val="21"/>
                <w:szCs w:val="21"/>
                <w:color w:val="auto"/>
              </w:rPr>
            </w:pPr>
          </w:p>
        </w:tc>
        <w:tc>
          <w:tcPr>
            <w:tcW w:w="500" w:type="dxa"/>
            <w:vAlign w:val="bottom"/>
          </w:tcPr>
          <w:p>
            <w:pPr>
              <w:ind w:left="300"/>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88"/>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1.9432</w:t>
            </w:r>
          </w:p>
        </w:tc>
        <w:tc>
          <w:tcPr>
            <w:tcW w:w="6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color w:val="0000FF"/>
              </w:rPr>
              <w:t>3,425,000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6"/>
                <w:szCs w:val="16"/>
                <w:color w:val="0000FF"/>
                <w:w w:val="89"/>
              </w:rPr>
              <w:t>04/13/2021</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P</w:t>
            </w:r>
          </w:p>
        </w:tc>
        <w:tc>
          <w:tcPr>
            <w:tcW w:w="780" w:type="dxa"/>
            <w:vAlign w:val="bottom"/>
            <w:tcBorders>
              <w:bottom w:val="single" w:sz="8" w:color="2C2C2C"/>
            </w:tcBorders>
          </w:tcPr>
          <w:p>
            <w:pPr>
              <w:jc w:val="center"/>
              <w:ind w:left="252"/>
              <w:spacing w:after="0"/>
              <w:rPr>
                <w:sz w:val="20"/>
                <w:szCs w:val="20"/>
                <w:color w:val="auto"/>
              </w:rPr>
            </w:pPr>
            <w:r>
              <w:rPr>
                <w:rFonts w:ascii="Arial" w:cs="Arial" w:eastAsia="Arial" w:hAnsi="Arial"/>
                <w:sz w:val="16"/>
                <w:szCs w:val="16"/>
                <w:color w:val="0000FF"/>
                <w:w w:val="93"/>
              </w:rPr>
              <w:t>31,512</w:t>
            </w: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82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1.9403</w:t>
            </w:r>
            <w:r>
              <w:rPr>
                <w:rFonts w:ascii="Arial" w:cs="Arial" w:eastAsia="Arial" w:hAnsi="Arial"/>
                <w:sz w:val="20"/>
                <w:szCs w:val="20"/>
                <w:color w:val="008000"/>
                <w:w w:val="88"/>
                <w:vertAlign w:val="superscript"/>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3,456,512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1"/>
                <w:szCs w:val="21"/>
                <w:color w:val="auto"/>
              </w:rPr>
            </w:pPr>
          </w:p>
        </w:tc>
        <w:tc>
          <w:tcPr>
            <w:tcW w:w="1760" w:type="dxa"/>
            <w:vAlign w:val="bottom"/>
            <w:gridSpan w:val="2"/>
          </w:tcPr>
          <w:p>
            <w:pPr>
              <w:jc w:val="center"/>
              <w:ind w:left="572"/>
              <w:spacing w:after="0"/>
              <w:rPr>
                <w:sz w:val="20"/>
                <w:szCs w:val="20"/>
                <w:color w:val="auto"/>
              </w:rPr>
            </w:pPr>
            <w:r>
              <w:rPr>
                <w:rFonts w:ascii="Arial" w:cs="Arial" w:eastAsia="Arial" w:hAnsi="Arial"/>
                <w:sz w:val="16"/>
                <w:szCs w:val="16"/>
                <w:color w:val="0000FF"/>
                <w:w w:val="89"/>
              </w:rPr>
              <w:t>04/14/2021</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2"/>
                <w:szCs w:val="12"/>
                <w:color w:val="0000FF"/>
              </w:rPr>
              <w:t>P</w:t>
            </w:r>
          </w:p>
        </w:tc>
        <w:tc>
          <w:tcPr>
            <w:tcW w:w="780" w:type="dxa"/>
            <w:vAlign w:val="bottom"/>
          </w:tcPr>
          <w:p>
            <w:pPr>
              <w:jc w:val="center"/>
              <w:ind w:left="252"/>
              <w:spacing w:after="0"/>
              <w:rPr>
                <w:sz w:val="20"/>
                <w:szCs w:val="20"/>
                <w:color w:val="auto"/>
              </w:rPr>
            </w:pPr>
            <w:r>
              <w:rPr>
                <w:rFonts w:ascii="Arial" w:cs="Arial" w:eastAsia="Arial" w:hAnsi="Arial"/>
                <w:sz w:val="16"/>
                <w:szCs w:val="16"/>
                <w:color w:val="0000FF"/>
                <w:w w:val="93"/>
              </w:rPr>
              <w:t>12,970</w:t>
            </w:r>
          </w:p>
        </w:tc>
        <w:tc>
          <w:tcPr>
            <w:tcW w:w="80" w:type="dxa"/>
            <w:vAlign w:val="bottom"/>
          </w:tcPr>
          <w:p>
            <w:pPr>
              <w:spacing w:after="0"/>
              <w:rPr>
                <w:sz w:val="21"/>
                <w:szCs w:val="21"/>
                <w:color w:val="auto"/>
              </w:rPr>
            </w:pPr>
          </w:p>
        </w:tc>
        <w:tc>
          <w:tcPr>
            <w:tcW w:w="500" w:type="dxa"/>
            <w:vAlign w:val="bottom"/>
          </w:tcPr>
          <w:p>
            <w:pPr>
              <w:ind w:left="300"/>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88"/>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1.95</w:t>
            </w:r>
          </w:p>
        </w:tc>
        <w:tc>
          <w:tcPr>
            <w:tcW w:w="6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color w:val="0000FF"/>
              </w:rPr>
              <w:t>3,469,482</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6"/>
                <w:szCs w:val="16"/>
                <w:color w:val="0000FF"/>
                <w:w w:val="89"/>
              </w:rPr>
              <w:t>04/15/2021</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P</w:t>
            </w:r>
          </w:p>
        </w:tc>
        <w:tc>
          <w:tcPr>
            <w:tcW w:w="860" w:type="dxa"/>
            <w:vAlign w:val="bottom"/>
            <w:tcBorders>
              <w:bottom w:val="single" w:sz="8" w:color="2C2C2C"/>
            </w:tcBorders>
            <w:gridSpan w:val="2"/>
          </w:tcPr>
          <w:p>
            <w:pPr>
              <w:jc w:val="center"/>
              <w:ind w:left="172"/>
              <w:spacing w:after="0"/>
              <w:rPr>
                <w:sz w:val="20"/>
                <w:szCs w:val="20"/>
                <w:color w:val="auto"/>
              </w:rPr>
            </w:pPr>
            <w:r>
              <w:rPr>
                <w:rFonts w:ascii="Arial" w:cs="Arial" w:eastAsia="Arial" w:hAnsi="Arial"/>
                <w:sz w:val="16"/>
                <w:szCs w:val="16"/>
                <w:color w:val="0000FF"/>
                <w:w w:val="86"/>
              </w:rPr>
              <w:t>111,226</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82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1.9474</w:t>
            </w:r>
            <w:r>
              <w:rPr>
                <w:rFonts w:ascii="Arial" w:cs="Arial" w:eastAsia="Arial" w:hAnsi="Arial"/>
                <w:sz w:val="20"/>
                <w:szCs w:val="20"/>
                <w:color w:val="008000"/>
                <w:w w:val="88"/>
                <w:vertAlign w:val="superscript"/>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3,580,708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6"/>
                <w:szCs w:val="16"/>
                <w:color w:val="0000FF"/>
                <w:w w:val="89"/>
              </w:rPr>
              <w:t>04/16/2021</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P</w:t>
            </w:r>
          </w:p>
        </w:tc>
        <w:tc>
          <w:tcPr>
            <w:tcW w:w="780" w:type="dxa"/>
            <w:vAlign w:val="bottom"/>
            <w:tcBorders>
              <w:bottom w:val="single" w:sz="8" w:color="2C2C2C"/>
            </w:tcBorders>
          </w:tcPr>
          <w:p>
            <w:pPr>
              <w:jc w:val="center"/>
              <w:ind w:left="252"/>
              <w:spacing w:after="0"/>
              <w:rPr>
                <w:sz w:val="20"/>
                <w:szCs w:val="20"/>
                <w:color w:val="auto"/>
              </w:rPr>
            </w:pPr>
            <w:r>
              <w:rPr>
                <w:rFonts w:ascii="Arial" w:cs="Arial" w:eastAsia="Arial" w:hAnsi="Arial"/>
                <w:sz w:val="16"/>
                <w:szCs w:val="16"/>
                <w:color w:val="0000FF"/>
                <w:w w:val="93"/>
              </w:rPr>
              <w:t>19,292</w:t>
            </w: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82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1.9749</w:t>
            </w:r>
            <w:r>
              <w:rPr>
                <w:rFonts w:ascii="Arial" w:cs="Arial" w:eastAsia="Arial" w:hAnsi="Arial"/>
                <w:sz w:val="20"/>
                <w:szCs w:val="20"/>
                <w:color w:val="008000"/>
                <w:w w:val="88"/>
                <w:vertAlign w:val="superscript"/>
              </w:rPr>
              <w:t>(3)</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3,600,000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of</w:t>
            </w:r>
          </w:p>
        </w:tc>
        <w:tc>
          <w:tcPr>
            <w:tcW w:w="8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w w:val="99"/>
              </w:rPr>
              <w:t>Expiration Date</w:t>
            </w:r>
          </w:p>
        </w:tc>
        <w:tc>
          <w:tcPr>
            <w:tcW w:w="780" w:type="dxa"/>
            <w:vAlign w:val="bottom"/>
          </w:tcPr>
          <w:p>
            <w:pPr>
              <w:spacing w:after="0"/>
              <w:rPr>
                <w:sz w:val="10"/>
                <w:szCs w:val="10"/>
                <w:color w:val="auto"/>
              </w:rPr>
            </w:pPr>
          </w:p>
        </w:tc>
        <w:tc>
          <w:tcPr>
            <w:tcW w:w="14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6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Convertible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Promissory</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21.5</w:t>
            </w: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center"/>
              <w:ind w:right="61"/>
              <w:spacing w:after="0" w:line="195" w:lineRule="exact"/>
              <w:rPr>
                <w:sz w:val="20"/>
                <w:szCs w:val="20"/>
                <w:color w:val="auto"/>
              </w:rPr>
            </w:pPr>
            <w:r>
              <w:rPr>
                <w:rFonts w:ascii="Arial" w:cs="Arial" w:eastAsia="Arial" w:hAnsi="Arial"/>
                <w:sz w:val="12"/>
                <w:szCs w:val="12"/>
                <w:color w:val="0000FF"/>
                <w:w w:val="94"/>
              </w:rPr>
              <w:t>01/02/2016</w:t>
            </w:r>
            <w:r>
              <w:rPr>
                <w:rFonts w:ascii="Arial" w:cs="Arial" w:eastAsia="Arial" w:hAnsi="Arial"/>
                <w:sz w:val="20"/>
                <w:szCs w:val="20"/>
                <w:color w:val="008000"/>
                <w:w w:val="94"/>
                <w:vertAlign w:val="superscript"/>
              </w:rPr>
              <w:t>(4)</w:t>
            </w:r>
          </w:p>
        </w:tc>
        <w:tc>
          <w:tcPr>
            <w:tcW w:w="780" w:type="dxa"/>
            <w:vAlign w:val="bottom"/>
          </w:tcPr>
          <w:p>
            <w:pPr>
              <w:jc w:val="center"/>
              <w:ind w:right="12"/>
              <w:spacing w:after="0" w:line="195" w:lineRule="exact"/>
              <w:rPr>
                <w:sz w:val="20"/>
                <w:szCs w:val="20"/>
                <w:color w:val="auto"/>
              </w:rPr>
            </w:pPr>
            <w:r>
              <w:rPr>
                <w:rFonts w:ascii="Arial" w:cs="Arial" w:eastAsia="Arial" w:hAnsi="Arial"/>
                <w:sz w:val="12"/>
                <w:szCs w:val="12"/>
                <w:color w:val="0000FF"/>
                <w:w w:val="86"/>
              </w:rPr>
              <w:t>11/09/2020</w:t>
            </w:r>
            <w:r>
              <w:rPr>
                <w:rFonts w:ascii="Arial" w:cs="Arial" w:eastAsia="Arial" w:hAnsi="Arial"/>
                <w:sz w:val="20"/>
                <w:szCs w:val="20"/>
                <w:color w:val="008000"/>
                <w:w w:val="86"/>
                <w:vertAlign w:val="superscript"/>
              </w:rPr>
              <w:t>(4)</w:t>
            </w:r>
          </w:p>
        </w:tc>
        <w:tc>
          <w:tcPr>
            <w:tcW w:w="580" w:type="dxa"/>
            <w:vAlign w:val="bottom"/>
            <w:gridSpan w:val="2"/>
          </w:tcPr>
          <w:p>
            <w:pPr>
              <w:ind w:left="20"/>
              <w:spacing w:after="0"/>
              <w:rPr>
                <w:sz w:val="20"/>
                <w:szCs w:val="20"/>
                <w:color w:val="auto"/>
              </w:rPr>
            </w:pPr>
            <w:r>
              <w:rPr>
                <w:rFonts w:ascii="Arial" w:cs="Arial" w:eastAsia="Arial" w:hAnsi="Arial"/>
                <w:sz w:val="12"/>
                <w:szCs w:val="12"/>
                <w:color w:val="0000FF"/>
              </w:rPr>
              <w:t>Common</w:t>
            </w:r>
          </w:p>
        </w:tc>
        <w:tc>
          <w:tcPr>
            <w:tcW w:w="820" w:type="dxa"/>
            <w:vAlign w:val="bottom"/>
          </w:tcPr>
          <w:p>
            <w:pPr>
              <w:jc w:val="center"/>
              <w:ind w:right="8"/>
              <w:spacing w:after="0" w:line="195" w:lineRule="exact"/>
              <w:rPr>
                <w:sz w:val="20"/>
                <w:szCs w:val="20"/>
                <w:color w:val="auto"/>
              </w:rPr>
            </w:pPr>
            <w:r>
              <w:rPr>
                <w:rFonts w:ascii="Arial" w:cs="Arial" w:eastAsia="Arial" w:hAnsi="Arial"/>
                <w:sz w:val="16"/>
                <w:szCs w:val="16"/>
                <w:color w:val="0000FF"/>
                <w:w w:val="94"/>
              </w:rPr>
              <w:t>639,535</w:t>
            </w:r>
            <w:r>
              <w:rPr>
                <w:rFonts w:ascii="Arial" w:cs="Arial" w:eastAsia="Arial" w:hAnsi="Arial"/>
                <w:sz w:val="20"/>
                <w:szCs w:val="20"/>
                <w:color w:val="008000"/>
                <w:w w:val="94"/>
                <w:vertAlign w:val="superscript"/>
              </w:rPr>
              <w:t>(4)</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color w:val="0000FF"/>
              </w:rPr>
              <w:t>13,750,000</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ind w:left="60"/>
              <w:spacing w:after="0" w:line="78" w:lineRule="exact"/>
              <w:rPr>
                <w:sz w:val="20"/>
                <w:szCs w:val="20"/>
                <w:color w:val="auto"/>
              </w:rPr>
            </w:pPr>
            <w:r>
              <w:rPr>
                <w:rFonts w:ascii="Arial" w:cs="Arial" w:eastAsia="Arial" w:hAnsi="Arial"/>
                <w:sz w:val="9"/>
                <w:szCs w:val="9"/>
                <w:color w:val="0000FF"/>
              </w:rPr>
              <w:t>Note Due</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jc w:val="right"/>
              <w:ind w:right="111"/>
              <w:spacing w:after="0" w:line="78" w:lineRule="exact"/>
              <w:rPr>
                <w:sz w:val="20"/>
                <w:szCs w:val="20"/>
                <w:color w:val="auto"/>
              </w:rPr>
            </w:pPr>
            <w:r>
              <w:rPr>
                <w:rFonts w:ascii="Arial" w:cs="Arial" w:eastAsia="Arial" w:hAnsi="Arial"/>
                <w:sz w:val="9"/>
                <w:szCs w:val="9"/>
                <w:color w:val="0000FF"/>
              </w:rPr>
              <w:t>Stock</w:t>
            </w: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20" w:type="dxa"/>
            <w:vAlign w:val="bottom"/>
            <w:gridSpan w:val="2"/>
          </w:tcPr>
          <w:p>
            <w:pPr>
              <w:ind w:left="80"/>
              <w:spacing w:after="0"/>
              <w:rPr>
                <w:sz w:val="20"/>
                <w:szCs w:val="20"/>
                <w:color w:val="auto"/>
              </w:rPr>
            </w:pPr>
            <w:r>
              <w:rPr>
                <w:rFonts w:ascii="Arial" w:cs="Arial" w:eastAsia="Arial" w:hAnsi="Arial"/>
                <w:sz w:val="12"/>
                <w:szCs w:val="12"/>
                <w:color w:val="0000FF"/>
              </w:rPr>
              <w:t>2020</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Warrant</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2.97</w:t>
            </w: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gridSpan w:val="3"/>
          </w:tcPr>
          <w:p>
            <w:pPr>
              <w:jc w:val="right"/>
              <w:ind w:right="141"/>
              <w:spacing w:after="0"/>
              <w:rPr>
                <w:sz w:val="20"/>
                <w:szCs w:val="20"/>
                <w:color w:val="auto"/>
              </w:rPr>
            </w:pPr>
            <w:r>
              <w:rPr>
                <w:rFonts w:ascii="Arial" w:cs="Arial" w:eastAsia="Arial" w:hAnsi="Arial"/>
                <w:sz w:val="12"/>
                <w:szCs w:val="12"/>
                <w:color w:val="0000FF"/>
              </w:rPr>
              <w:t>10/15/2020</w:t>
            </w:r>
          </w:p>
        </w:tc>
        <w:tc>
          <w:tcPr>
            <w:tcW w:w="780" w:type="dxa"/>
            <w:vAlign w:val="bottom"/>
          </w:tcPr>
          <w:p>
            <w:pPr>
              <w:jc w:val="right"/>
              <w:ind w:right="92"/>
              <w:spacing w:after="0"/>
              <w:rPr>
                <w:sz w:val="20"/>
                <w:szCs w:val="20"/>
                <w:color w:val="auto"/>
              </w:rPr>
            </w:pPr>
            <w:r>
              <w:rPr>
                <w:rFonts w:ascii="Arial" w:cs="Arial" w:eastAsia="Arial" w:hAnsi="Arial"/>
                <w:sz w:val="12"/>
                <w:szCs w:val="12"/>
                <w:color w:val="0000FF"/>
                <w:w w:val="99"/>
              </w:rPr>
              <w:t>04/15/2025</w:t>
            </w:r>
          </w:p>
        </w:tc>
        <w:tc>
          <w:tcPr>
            <w:tcW w:w="580" w:type="dxa"/>
            <w:vAlign w:val="bottom"/>
            <w:gridSpan w:val="2"/>
          </w:tcPr>
          <w:p>
            <w:pPr>
              <w:ind w:left="20"/>
              <w:spacing w:after="0"/>
              <w:rPr>
                <w:sz w:val="20"/>
                <w:szCs w:val="20"/>
                <w:color w:val="auto"/>
              </w:rPr>
            </w:pPr>
            <w:r>
              <w:rPr>
                <w:rFonts w:ascii="Arial" w:cs="Arial" w:eastAsia="Arial" w:hAnsi="Arial"/>
                <w:sz w:val="12"/>
                <w:szCs w:val="12"/>
                <w:color w:val="0000FF"/>
              </w:rPr>
              <w:t>Common</w:t>
            </w:r>
          </w:p>
        </w:tc>
        <w:tc>
          <w:tcPr>
            <w:tcW w:w="820" w:type="dxa"/>
            <w:vAlign w:val="bottom"/>
          </w:tcPr>
          <w:p>
            <w:pPr>
              <w:jc w:val="right"/>
              <w:spacing w:after="0"/>
              <w:rPr>
                <w:sz w:val="20"/>
                <w:szCs w:val="20"/>
                <w:color w:val="auto"/>
              </w:rPr>
            </w:pPr>
            <w:r>
              <w:rPr>
                <w:rFonts w:ascii="Arial" w:cs="Arial" w:eastAsia="Arial" w:hAnsi="Arial"/>
                <w:sz w:val="16"/>
                <w:szCs w:val="16"/>
                <w:color w:val="0000FF"/>
                <w:w w:val="92"/>
              </w:rPr>
              <w:t>116,956.95</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color w:val="0000FF"/>
              </w:rPr>
              <w:t>116,956.95</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right"/>
              <w:ind w:right="111"/>
              <w:spacing w:after="0" w:line="137" w:lineRule="exact"/>
              <w:rPr>
                <w:sz w:val="20"/>
                <w:szCs w:val="20"/>
                <w:color w:val="auto"/>
              </w:rPr>
            </w:pPr>
            <w:r>
              <w:rPr>
                <w:rFonts w:ascii="Arial" w:cs="Arial" w:eastAsia="Arial" w:hAnsi="Arial"/>
                <w:sz w:val="12"/>
                <w:szCs w:val="12"/>
                <w:color w:val="0000FF"/>
                <w:w w:val="99"/>
              </w:rPr>
              <w:t>Stock</w:t>
            </w: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-2194560</wp:posOffset>
            </wp:positionV>
            <wp:extent cx="28575" cy="2200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0027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40" w:right="420" w:hanging="4"/>
        <w:spacing w:after="0" w:line="269"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$1.94 to $1.9415; the price reported above reflects the weighted average purchase price. Reporting Person hereby undertakes to provide full information regarding the number of shares and prices at which these trades were effected upon request to the SEC staff, the issuer, or a security holder of the issuer.</w:t>
      </w:r>
    </w:p>
    <w:p>
      <w:pPr>
        <w:spacing w:after="0" w:line="13" w:lineRule="exact"/>
        <w:rPr>
          <w:rFonts w:ascii="Arial" w:cs="Arial" w:eastAsia="Arial" w:hAnsi="Arial"/>
          <w:sz w:val="12"/>
          <w:szCs w:val="12"/>
          <w:color w:val="008000"/>
        </w:rPr>
      </w:pPr>
    </w:p>
    <w:p>
      <w:pPr>
        <w:ind w:left="40" w:right="300" w:hanging="4"/>
        <w:spacing w:after="0" w:line="269"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$1.9351 to $1.9493; the price reported above reflects the weighted average purchase price. Reporting Person hereby undertakes to provide full information regarding the number of shares and prices at which these trades were effected upon request to the SEC staff, the issuer, or a security holder of the issuer.</w:t>
      </w:r>
    </w:p>
    <w:p>
      <w:pPr>
        <w:spacing w:after="0" w:line="13" w:lineRule="exact"/>
        <w:rPr>
          <w:rFonts w:ascii="Arial" w:cs="Arial" w:eastAsia="Arial" w:hAnsi="Arial"/>
          <w:sz w:val="12"/>
          <w:szCs w:val="12"/>
          <w:color w:val="008000"/>
        </w:rPr>
      </w:pPr>
    </w:p>
    <w:p>
      <w:pPr>
        <w:ind w:left="40" w:right="300" w:hanging="4"/>
        <w:spacing w:after="0" w:line="269"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$1.9674 to $1.9885; the price reported above reflects the weighted average purchase price. Reporting Person hereby undertakes to provide full information regarding the number of shares and prices at which these trades were effected upon request to the SEC staff, the issuer, or a security holder of the issuer.</w:t>
      </w:r>
    </w:p>
    <w:p>
      <w:pPr>
        <w:spacing w:after="0" w:line="13" w:lineRule="exact"/>
        <w:rPr>
          <w:rFonts w:ascii="Arial" w:cs="Arial" w:eastAsia="Arial" w:hAnsi="Arial"/>
          <w:sz w:val="12"/>
          <w:szCs w:val="12"/>
          <w:color w:val="008000"/>
        </w:rPr>
      </w:pPr>
    </w:p>
    <w:p>
      <w:pPr>
        <w:ind w:left="40" w:right="180" w:hanging="4"/>
        <w:spacing w:after="0" w:line="24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previously reported on a Form 4 filed by Reporting Person on May 11, 2015, on May 8, 2015, Reporting Person purchased a Convertible Promissory Note Due 2020 in the original principal amount of $13,750,000 that is convertible by Reporting Person at any time after January 1, 2016, and, upon conversion of the original principal amount prior to maturity at the initial conversion price of $21.50 per share (subject to adjustment in the event of stock splits, stock dividends and reclassifications), Reporting Person will receive 639,535 shares of common stock (subject to adjustment in the event of stock splits, stock dividends and reclassifications). The Convertible Promissory Note Due 2020, as amended on April 15, 2020, is due and payable, to the extent not converted, on or before November 9, 2020.</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0" w:lineRule="exact"/>
        <w:rPr>
          <w:sz w:val="20"/>
          <w:szCs w:val="20"/>
          <w:color w:val="auto"/>
        </w:rPr>
      </w:pPr>
    </w:p>
    <w:p>
      <w:pPr>
        <w:ind w:left="40" w:right="280"/>
        <w:spacing w:after="0" w:line="269" w:lineRule="auto"/>
        <w:rPr>
          <w:sz w:val="20"/>
          <w:szCs w:val="20"/>
          <w:color w:val="auto"/>
        </w:rPr>
      </w:pPr>
      <w:r>
        <w:rPr>
          <w:rFonts w:ascii="Arial" w:cs="Arial" w:eastAsia="Arial" w:hAnsi="Arial"/>
          <w:sz w:val="12"/>
          <w:szCs w:val="12"/>
          <w:color w:val="008000"/>
        </w:rPr>
        <w:t>This is a late filing with respect to the transactions reported in Table I dated March April 12, 2021 and April 13, 2021; pursuant to the General Instructions of Form 4, a Form 4 relating to such transactions should have been filed within two business days following the date of each such transaction.</w:t>
      </w:r>
    </w:p>
    <w:p>
      <w:pPr>
        <w:spacing w:after="0" w:line="2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2"/>
          </w:tcPr>
          <w:p>
            <w:pPr>
              <w:spacing w:after="0"/>
              <w:rPr>
                <w:sz w:val="20"/>
                <w:szCs w:val="20"/>
                <w:color w:val="auto"/>
              </w:rPr>
            </w:pPr>
            <w:r>
              <w:rPr>
                <w:rFonts w:ascii="Arial" w:cs="Arial" w:eastAsia="Arial" w:hAnsi="Arial"/>
                <w:sz w:val="16"/>
                <w:szCs w:val="16"/>
                <w:color w:val="0000FF"/>
                <w:w w:val="96"/>
              </w:rPr>
              <w:t>/s/ Richard H. Pickup, Trustee</w:t>
            </w:r>
          </w:p>
        </w:tc>
        <w:tc>
          <w:tcPr>
            <w:tcW w:w="860" w:type="dxa"/>
            <w:vAlign w:val="bottom"/>
            <w:gridSpan w:val="2"/>
          </w:tcPr>
          <w:p>
            <w:pPr>
              <w:ind w:left="120"/>
              <w:spacing w:after="0"/>
              <w:rPr>
                <w:sz w:val="20"/>
                <w:szCs w:val="20"/>
                <w:color w:val="auto"/>
              </w:rPr>
            </w:pPr>
            <w:r>
              <w:rPr>
                <w:rFonts w:ascii="Arial" w:cs="Arial" w:eastAsia="Arial" w:hAnsi="Arial"/>
                <w:sz w:val="16"/>
                <w:szCs w:val="16"/>
                <w:color w:val="0000FF"/>
                <w:w w:val="89"/>
              </w:rPr>
              <w:t>04/16/2021</w:t>
            </w: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2"/>
                <w:szCs w:val="12"/>
                <w:color w:val="auto"/>
              </w:rPr>
              <w:t>** Signature of Reporting Person</w:t>
            </w:r>
          </w:p>
        </w:tc>
        <w:tc>
          <w:tcPr>
            <w:tcW w:w="14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880" w:hanging="4"/>
        <w:spacing w:after="0" w:line="321"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6118" TargetMode="External"/><Relationship Id="rId13" Type="http://schemas.openxmlformats.org/officeDocument/2006/relationships/hyperlink" Target="http://www.sec.gov/cgi-bin/browse-edgar?action=getcompany&amp;CIK=0001000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2021-04-16T16:32:28Z</dcterms:created>
  <dcterms:modified xsi:type="dcterms:W3CDTF">2021-04-16T16:32:28Z</dcterms:modified>
</cp:coreProperties>
</file>