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700" w:right="2419" w:hanging="5161"/>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MAY 17, 1996 REGISTRATION NO. 33-</w:t>
      </w:r>
    </w:p>
    <w:p>
      <w:pPr>
        <w:ind w:left="220" w:hanging="212"/>
        <w:spacing w:after="0" w:line="233"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S-11</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2120"/>
        <w:spacing w:after="0" w:line="238" w:lineRule="auto"/>
        <w:rPr>
          <w:sz w:val="20"/>
          <w:szCs w:val="20"/>
          <w:color w:val="auto"/>
        </w:rPr>
      </w:pPr>
      <w:r>
        <w:rPr>
          <w:rFonts w:ascii="Courier New" w:cs="Courier New" w:eastAsia="Courier New" w:hAnsi="Courier New"/>
          <w:sz w:val="18"/>
          <w:szCs w:val="18"/>
          <w:color w:val="auto"/>
        </w:rPr>
        <w:t>IMPERIAL CREDIT MORTGAGE HOLDINGS, INC.</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20371 IRVINE AVENUE</w:t>
      </w:r>
    </w:p>
    <w:p>
      <w:pPr>
        <w:ind w:left="2320"/>
        <w:spacing w:after="0"/>
        <w:rPr>
          <w:sz w:val="20"/>
          <w:szCs w:val="20"/>
          <w:color w:val="auto"/>
        </w:rPr>
      </w:pPr>
      <w:r>
        <w:rPr>
          <w:rFonts w:ascii="Courier New" w:cs="Courier New" w:eastAsia="Courier New" w:hAnsi="Courier New"/>
          <w:sz w:val="18"/>
          <w:szCs w:val="18"/>
          <w:color w:val="auto"/>
        </w:rPr>
        <w:t>SANTA ANA HEIGHTS, CALIFORNIA 92707</w:t>
      </w:r>
    </w:p>
    <w:p>
      <w:pPr>
        <w:ind w:left="200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JOSEPH R. TOMKINSON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CHIEF EXECUTIVE OFFICER</w:t>
      </w:r>
    </w:p>
    <w:p>
      <w:pPr>
        <w:jc w:val="center"/>
        <w:ind w:right="1879"/>
        <w:spacing w:after="0"/>
        <w:rPr>
          <w:sz w:val="20"/>
          <w:szCs w:val="20"/>
          <w:color w:val="auto"/>
        </w:rPr>
      </w:pPr>
      <w:r>
        <w:rPr>
          <w:rFonts w:ascii="Courier New" w:cs="Courier New" w:eastAsia="Courier New" w:hAnsi="Courier New"/>
          <w:sz w:val="18"/>
          <w:szCs w:val="18"/>
          <w:color w:val="auto"/>
        </w:rPr>
        <w:t>IMPERIAL CREDIT MORTGAGE HOLDINGS,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20371 IRVINE AVENUE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SANTA ANA HEIGHTS, CALIFORNIA 92707</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(NAME, ADDRESS, INCLUDING ZIP CODE, AND TELEPHONE NUMBER,</w:t>
      </w:r>
    </w:p>
    <w:p>
      <w:pPr>
        <w:ind w:left="1900"/>
        <w:spacing w:after="0" w:line="238" w:lineRule="auto"/>
        <w:rPr>
          <w:sz w:val="20"/>
          <w:szCs w:val="20"/>
          <w:color w:val="auto"/>
        </w:rPr>
      </w:pPr>
      <w:r>
        <w:rPr>
          <w:rFonts w:ascii="Courier New" w:cs="Courier New" w:eastAsia="Courier New" w:hAnsi="Courier New"/>
          <w:sz w:val="18"/>
          <w:szCs w:val="18"/>
          <w:color w:val="auto"/>
        </w:rPr>
        <w:t>INCLUDING AREA CODE, OF AGENT FOR SERVICE)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220" w:type="dxa"/>
        <w:tblCellMar>
          <w:top w:w="0" w:type="dxa"/>
          <w:left w:w="0" w:type="dxa"/>
          <w:bottom w:w="0" w:type="dxa"/>
          <w:right w:w="0" w:type="dxa"/>
        </w:tblCellMar>
      </w:tblPr>
      <w:tr>
        <w:trPr>
          <w:trHeight w:val="203"/>
        </w:trPr>
        <w:tc>
          <w:tcPr>
            <w:tcW w:w="4580" w:type="dxa"/>
            <w:vAlign w:val="bottom"/>
          </w:tcPr>
          <w:p>
            <w:pPr>
              <w:ind w:left="3360"/>
              <w:spacing w:after="0" w:line="203" w:lineRule="exact"/>
              <w:rPr>
                <w:sz w:val="20"/>
                <w:szCs w:val="20"/>
                <w:color w:val="auto"/>
              </w:rPr>
            </w:pPr>
            <w:r>
              <w:rPr>
                <w:rFonts w:ascii="Courier New" w:cs="Courier New" w:eastAsia="Courier New" w:hAnsi="Courier New"/>
                <w:sz w:val="18"/>
                <w:szCs w:val="18"/>
                <w:color w:val="auto"/>
              </w:rPr>
              <w:t>COPIES TO:</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458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THOMAS J. POLETTI, ESQ.</w:t>
            </w:r>
          </w:p>
        </w:tc>
        <w:tc>
          <w:tcPr>
            <w:tcW w:w="32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JUDITH R. THOYER, ESQ.</w:t>
            </w:r>
          </w:p>
        </w:tc>
      </w:tr>
      <w:tr>
        <w:trPr>
          <w:trHeight w:val="203"/>
        </w:trPr>
        <w:tc>
          <w:tcPr>
            <w:tcW w:w="45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MARK J. KELSON, ESQ.</w:t>
            </w:r>
          </w:p>
        </w:tc>
        <w:tc>
          <w:tcPr>
            <w:tcW w:w="32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PAUL, WEISS, RIFKIND,</w:t>
            </w:r>
          </w:p>
        </w:tc>
      </w:tr>
      <w:tr>
        <w:trPr>
          <w:trHeight w:val="203"/>
        </w:trPr>
        <w:tc>
          <w:tcPr>
            <w:tcW w:w="45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KATHERINE J. BLAIR, ESQ.</w:t>
            </w:r>
          </w:p>
        </w:tc>
        <w:tc>
          <w:tcPr>
            <w:tcW w:w="32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WHARTON &amp; GARRISON</w:t>
            </w:r>
          </w:p>
        </w:tc>
      </w:tr>
      <w:tr>
        <w:trPr>
          <w:trHeight w:val="203"/>
        </w:trPr>
        <w:tc>
          <w:tcPr>
            <w:tcW w:w="45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FRESHMAN, MARANTZ, ORLANSKI,</w:t>
            </w:r>
          </w:p>
        </w:tc>
        <w:tc>
          <w:tcPr>
            <w:tcW w:w="32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1285 AVENUE OF THE AMERICAS</w:t>
            </w:r>
          </w:p>
        </w:tc>
      </w:tr>
      <w:tr>
        <w:trPr>
          <w:trHeight w:val="203"/>
        </w:trPr>
        <w:tc>
          <w:tcPr>
            <w:tcW w:w="45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6"/>
              </w:rPr>
              <w:t>COOPER &amp; KLEIN</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 YORK, NEW YORK</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10019-6064</w:t>
            </w:r>
          </w:p>
        </w:tc>
      </w:tr>
      <w:tr>
        <w:trPr>
          <w:trHeight w:val="203"/>
        </w:trPr>
        <w:tc>
          <w:tcPr>
            <w:tcW w:w="45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9100 WILSHIRE BOULEVARD, 8TH FLOOR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TELEPHONE: (212)</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373-3000</w:t>
            </w:r>
          </w:p>
        </w:tc>
      </w:tr>
      <w:tr>
        <w:trPr>
          <w:trHeight w:val="203"/>
        </w:trPr>
        <w:tc>
          <w:tcPr>
            <w:tcW w:w="4580" w:type="dxa"/>
            <w:vAlign w:val="bottom"/>
          </w:tcPr>
          <w:p>
            <w:pPr>
              <w:jc w:val="center"/>
              <w:ind w:right="1032"/>
              <w:spacing w:after="0" w:line="203" w:lineRule="exact"/>
              <w:rPr>
                <w:sz w:val="20"/>
                <w:szCs w:val="20"/>
                <w:color w:val="auto"/>
              </w:rPr>
            </w:pPr>
            <w:r>
              <w:rPr>
                <w:rFonts w:ascii="Courier New" w:cs="Courier New" w:eastAsia="Courier New" w:hAnsi="Courier New"/>
                <w:sz w:val="18"/>
                <w:szCs w:val="18"/>
                <w:color w:val="auto"/>
                <w:w w:val="97"/>
              </w:rPr>
              <w:t>BEVERLY HILLS, CALIFORNIA 90212</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FACSIMILE: (212)</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757-3990</w:t>
            </w:r>
          </w:p>
        </w:tc>
      </w:tr>
      <w:tr>
        <w:trPr>
          <w:trHeight w:val="203"/>
        </w:trPr>
        <w:tc>
          <w:tcPr>
            <w:tcW w:w="4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TELEPHONE: (310) 273-1870</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8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FACSIMILE: (310) 274-8357</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this Registration Statement.</w:t>
      </w:r>
    </w:p>
    <w:p>
      <w:pPr>
        <w:spacing w:after="0" w:line="208" w:lineRule="exact"/>
        <w:rPr>
          <w:sz w:val="24"/>
          <w:szCs w:val="24"/>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number of the earlier effective registration statement for the same offering. [_]</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PROPOSED</w:t>
      </w:r>
    </w:p>
    <w:p>
      <w:pPr>
        <w:ind w:left="4740"/>
        <w:spacing w:after="0" w:line="238" w:lineRule="auto"/>
        <w:rPr>
          <w:sz w:val="20"/>
          <w:szCs w:val="20"/>
          <w:color w:val="auto"/>
        </w:rPr>
      </w:pPr>
      <w:r>
        <w:rPr>
          <w:rFonts w:ascii="Courier New" w:cs="Courier New" w:eastAsia="Courier New" w:hAnsi="Courier New"/>
          <w:sz w:val="18"/>
          <w:szCs w:val="18"/>
          <w:color w:val="auto"/>
        </w:rPr>
        <w:t>MAXIMUM</w:t>
      </w:r>
    </w:p>
    <w:p>
      <w:pPr>
        <w:ind w:left="120"/>
        <w:spacing w:after="0"/>
        <w:tabs>
          <w:tab w:leader="none" w:pos="4620" w:val="left"/>
          <w:tab w:leader="none" w:pos="6420" w:val="left"/>
          <w:tab w:leader="none" w:pos="8000" w:val="left"/>
        </w:tabs>
        <w:rPr>
          <w:sz w:val="20"/>
          <w:szCs w:val="20"/>
          <w:color w:val="auto"/>
        </w:rPr>
      </w:pPr>
      <w:r>
        <w:rPr>
          <w:rFonts w:ascii="Courier New" w:cs="Courier New" w:eastAsia="Courier New" w:hAnsi="Courier New"/>
          <w:sz w:val="18"/>
          <w:szCs w:val="18"/>
          <w:color w:val="auto"/>
        </w:rPr>
        <w:t>TITLE OF EACH CLASS OF</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6"/>
          <w:szCs w:val="16"/>
          <w:color w:val="auto"/>
        </w:rPr>
        <w:t>AMOUNT OF</w:t>
      </w:r>
    </w:p>
    <w:p>
      <w:pPr>
        <w:ind w:left="420"/>
        <w:spacing w:after="0"/>
        <w:tabs>
          <w:tab w:leader="none" w:pos="2840" w:val="left"/>
          <w:tab w:leader="none" w:pos="4420" w:val="left"/>
        </w:tabs>
        <w:rPr>
          <w:sz w:val="20"/>
          <w:szCs w:val="20"/>
          <w:color w:val="auto"/>
        </w:rPr>
      </w:pPr>
      <w:r>
        <w:rPr>
          <w:rFonts w:ascii="Courier New" w:cs="Courier New" w:eastAsia="Courier New" w:hAnsi="Courier New"/>
          <w:sz w:val="18"/>
          <w:szCs w:val="18"/>
          <w:color w:val="auto"/>
        </w:rPr>
        <w:t>SECURITIES TO BE</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6"/>
          <w:szCs w:val="16"/>
          <w:color w:val="auto"/>
        </w:rPr>
        <w:t>OFFERING PRICE MAXIMUM AGGREGATE REGISTRATION</w:t>
      </w:r>
    </w:p>
    <w:p>
      <w:pPr>
        <w:ind w:left="740"/>
        <w:spacing w:after="0"/>
        <w:tabs>
          <w:tab w:leader="none" w:pos="2940" w:val="left"/>
          <w:tab w:leader="none" w:pos="4520" w:val="left"/>
          <w:tab w:leader="none" w:pos="6000" w:val="left"/>
          <w:tab w:leader="none" w:pos="8320" w:val="left"/>
        </w:tabs>
        <w:rPr>
          <w:sz w:val="20"/>
          <w:szCs w:val="20"/>
          <w:color w:val="auto"/>
        </w:rPr>
      </w:pP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PER SHARE(1)</w:t>
        <w:tab/>
        <w:t>OFFERING PRICE(1)</w:t>
      </w:r>
      <w:r>
        <w:rPr>
          <w:sz w:val="20"/>
          <w:szCs w:val="20"/>
          <w:color w:val="auto"/>
        </w:rPr>
        <w:tab/>
      </w:r>
      <w:r>
        <w:rPr>
          <w:rFonts w:ascii="Courier New" w:cs="Courier New" w:eastAsia="Courier New" w:hAnsi="Courier New"/>
          <w:sz w:val="16"/>
          <w:szCs w:val="16"/>
          <w:color w:val="auto"/>
        </w:rPr>
        <w:t>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Common Stock, $.01 par</w:t>
            </w:r>
          </w:p>
        </w:tc>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value(2)..............</w:t>
            </w: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2,875,000 shares</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$44,562,500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$15,366</w:t>
            </w:r>
          </w:p>
        </w:tc>
      </w:tr>
    </w:tbl>
    <w:p>
      <w:pPr>
        <w:spacing w:after="0" w:line="20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sectPr>
      </w:pPr>
    </w:p>
    <w:bookmarkStart w:id="1" w:name="page2"/>
    <w:bookmarkEnd w:id="1"/>
    <w:p>
      <w:pPr>
        <w:ind w:left="420" w:right="31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computing the amount of the registration fee in accordance with Rule 457(c).</w:t>
      </w:r>
    </w:p>
    <w:p>
      <w:pPr>
        <w:spacing w:after="0" w:line="5"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375,000 shares which the Underwriters have the option to purchase to cover over-allotments, if any.</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2007"/>
        <w:spacing w:after="0"/>
        <w:rPr>
          <w:sz w:val="20"/>
          <w:szCs w:val="20"/>
          <w:color w:val="auto"/>
        </w:rPr>
      </w:pPr>
      <w:r>
        <w:rPr>
          <w:rFonts w:ascii="Courier New" w:cs="Courier New" w:eastAsia="Courier New" w:hAnsi="Courier New"/>
          <w:sz w:val="18"/>
          <w:szCs w:val="18"/>
          <w:color w:val="auto"/>
        </w:rPr>
        <w:t>IMPERIAL CREDIT MORTGAGE HOLDINGS, INC.</w:t>
      </w:r>
    </w:p>
    <w:p>
      <w:pPr>
        <w:spacing w:after="0" w:line="201" w:lineRule="exact"/>
        <w:rPr>
          <w:sz w:val="20"/>
          <w:szCs w:val="20"/>
          <w:color w:val="auto"/>
        </w:rPr>
      </w:pPr>
    </w:p>
    <w:p>
      <w:pPr>
        <w:jc w:val="center"/>
        <w:ind w:right="1873"/>
        <w:spacing w:after="0"/>
        <w:rPr>
          <w:sz w:val="20"/>
          <w:szCs w:val="20"/>
          <w:color w:val="auto"/>
        </w:rPr>
      </w:pPr>
      <w:r>
        <w:rPr>
          <w:rFonts w:ascii="Courier New" w:cs="Courier New" w:eastAsia="Courier New" w:hAnsi="Courier New"/>
          <w:sz w:val="18"/>
          <w:szCs w:val="18"/>
          <w:color w:val="auto"/>
        </w:rPr>
        <w:t>CROSS-REFERENCE SHEET SHOWING LOCATION IN PROSPECTUS</w:t>
      </w:r>
    </w:p>
    <w:p>
      <w:pPr>
        <w:jc w:val="center"/>
        <w:ind w:right="1893"/>
        <w:spacing w:after="0" w:line="238" w:lineRule="auto"/>
        <w:rPr>
          <w:sz w:val="20"/>
          <w:szCs w:val="20"/>
          <w:color w:val="auto"/>
        </w:rPr>
      </w:pPr>
      <w:r>
        <w:rPr>
          <w:rFonts w:ascii="Courier New" w:cs="Courier New" w:eastAsia="Courier New" w:hAnsi="Courier New"/>
          <w:sz w:val="18"/>
          <w:szCs w:val="18"/>
          <w:color w:val="auto"/>
        </w:rPr>
        <w:t>OR REGISTRATION STATEMENT OF INFORMATION</w:t>
      </w:r>
    </w:p>
    <w:p>
      <w:pPr>
        <w:jc w:val="center"/>
        <w:ind w:right="1873"/>
        <w:spacing w:after="0"/>
        <w:rPr>
          <w:sz w:val="20"/>
          <w:szCs w:val="20"/>
          <w:color w:val="auto"/>
        </w:rPr>
      </w:pPr>
      <w:r>
        <w:rPr>
          <w:rFonts w:ascii="Courier New" w:cs="Courier New" w:eastAsia="Courier New" w:hAnsi="Courier New"/>
          <w:sz w:val="18"/>
          <w:szCs w:val="18"/>
          <w:color w:val="auto"/>
        </w:rPr>
        <w:t>REQUIRED BY ITEMS 1-29</w:t>
      </w:r>
    </w:p>
    <w:p>
      <w:pPr>
        <w:jc w:val="center"/>
        <w:ind w:right="1993"/>
        <w:spacing w:after="0" w:line="237" w:lineRule="auto"/>
        <w:rPr>
          <w:sz w:val="20"/>
          <w:szCs w:val="20"/>
          <w:color w:val="auto"/>
        </w:rPr>
      </w:pPr>
      <w:r>
        <w:rPr>
          <w:rFonts w:ascii="Courier New" w:cs="Courier New" w:eastAsia="Courier New" w:hAnsi="Courier New"/>
          <w:sz w:val="18"/>
          <w:szCs w:val="18"/>
          <w:color w:val="auto"/>
        </w:rPr>
        <w:t>(PURSUANT TO ITEM 501(B)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7"/>
        <w:spacing w:after="0"/>
        <w:tabs>
          <w:tab w:leader="none" w:pos="5026" w:val="left"/>
        </w:tabs>
        <w:rPr>
          <w:sz w:val="20"/>
          <w:szCs w:val="20"/>
          <w:color w:val="auto"/>
        </w:rPr>
      </w:pPr>
      <w:r>
        <w:rPr>
          <w:rFonts w:ascii="Courier New" w:cs="Courier New" w:eastAsia="Courier New" w:hAnsi="Courier New"/>
          <w:sz w:val="18"/>
          <w:szCs w:val="18"/>
          <w:color w:val="auto"/>
        </w:rPr>
        <w:t>FORM S-11 ITEMS NUMBER AND CAPTION</w:t>
      </w:r>
      <w:r>
        <w:rPr>
          <w:sz w:val="20"/>
          <w:szCs w:val="20"/>
          <w:color w:val="auto"/>
        </w:rPr>
        <w:tab/>
      </w:r>
      <w:r>
        <w:rPr>
          <w:rFonts w:ascii="Courier New" w:cs="Courier New" w:eastAsia="Courier New" w:hAnsi="Courier New"/>
          <w:sz w:val="16"/>
          <w:szCs w:val="16"/>
          <w:color w:val="auto"/>
        </w:rPr>
        <w:t>CAPTION IN PROSPECTUS OR PAGE REFERENCE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27" w:hanging="521"/>
        <w:spacing w:after="0"/>
        <w:tabs>
          <w:tab w:leader="none" w:pos="6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Forepart of Registration Statement</w:t>
      </w:r>
    </w:p>
    <w:tbl>
      <w:tblPr>
        <w:tblLayout w:type="fixed"/>
        <w:tblInd w:w="107" w:type="dxa"/>
        <w:tblCellMar>
          <w:top w:w="0" w:type="dxa"/>
          <w:left w:w="0" w:type="dxa"/>
          <w:bottom w:w="0" w:type="dxa"/>
          <w:right w:w="0" w:type="dxa"/>
        </w:tblCellMar>
      </w:tblP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Outside Front Cover</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of</w:t>
            </w:r>
          </w:p>
        </w:tc>
        <w:tc>
          <w:tcPr>
            <w:tcW w:w="5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Forepart of Registration Statement; Outside</w:t>
            </w:r>
          </w:p>
        </w:tc>
      </w:tr>
      <w:tr>
        <w:trPr>
          <w:trHeight w:val="203"/>
        </w:trPr>
        <w:tc>
          <w:tcPr>
            <w:tcW w:w="43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5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Front Cover Page of Prospectus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2.   Inside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Front and Outside</w:t>
            </w:r>
          </w:p>
        </w:tc>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Back Cover</w:t>
            </w:r>
          </w:p>
        </w:tc>
        <w:tc>
          <w:tcPr>
            <w:tcW w:w="5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Inside Front Cover Page of Prospectus; Outside</w:t>
            </w:r>
          </w:p>
        </w:tc>
      </w:tr>
      <w:tr>
        <w:trPr>
          <w:trHeight w:val="203"/>
        </w:trPr>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Pages</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of Prospectus................</w:t>
            </w:r>
          </w:p>
        </w:tc>
        <w:tc>
          <w:tcPr>
            <w:tcW w:w="5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Back Cover Page of Prospectus</w:t>
            </w:r>
          </w:p>
        </w:tc>
      </w:tr>
    </w:tbl>
    <w:p>
      <w:pPr>
        <w:spacing w:after="0" w:line="4" w:lineRule="exact"/>
        <w:rPr>
          <w:sz w:val="20"/>
          <w:szCs w:val="20"/>
          <w:color w:val="auto"/>
        </w:rPr>
      </w:pPr>
    </w:p>
    <w:p>
      <w:pPr>
        <w:ind w:left="747" w:right="5999" w:hanging="641"/>
        <w:spacing w:after="0" w:line="268" w:lineRule="auto"/>
        <w:tabs>
          <w:tab w:leader="none" w:pos="6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Information, Risk Factors and Ratio of Earnings to Fixed</w:t>
      </w:r>
    </w:p>
    <w:tbl>
      <w:tblPr>
        <w:tblLayout w:type="fixed"/>
        <w:tblInd w:w="107"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40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Charges............................</w:t>
            </w:r>
          </w:p>
        </w:tc>
        <w:tc>
          <w:tcPr>
            <w:tcW w:w="216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w w:val="99"/>
              </w:rPr>
              <w:t>Prospectus Summary;</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Risk Factors</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4.</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Determination of Offering Price.....</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Outside Front Cover</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Page of Prospectus; Under-</w:t>
            </w:r>
          </w:p>
        </w:tc>
      </w:tr>
      <w:tr>
        <w:trPr>
          <w:trHeight w:val="203"/>
        </w:trPr>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writing</w:t>
            </w:r>
          </w:p>
        </w:tc>
        <w:tc>
          <w:tcPr>
            <w:tcW w:w="2800" w:type="dxa"/>
            <w:vAlign w:val="bottom"/>
          </w:tcPr>
          <w:p>
            <w:pPr>
              <w:spacing w:after="0"/>
              <w:rPr>
                <w:sz w:val="17"/>
                <w:szCs w:val="17"/>
                <w:color w:val="auto"/>
              </w:rPr>
            </w:pP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5.</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Dilution............................</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6.</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Selling Security Holders............</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7.</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Plan of Distribution................</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Outside Front Cover</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Page of Prospectus; Under-</w:t>
            </w:r>
          </w:p>
        </w:tc>
      </w:tr>
      <w:tr>
        <w:trPr>
          <w:trHeight w:val="203"/>
        </w:trPr>
        <w:tc>
          <w:tcPr>
            <w:tcW w:w="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writing; Dividend Reinvestment Plan</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8.</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Use of Proceeds.....................</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Prospectus Summary;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Use of Proceeds</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9.</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Selected Financial Data.............</w:t>
            </w:r>
          </w:p>
        </w:tc>
        <w:tc>
          <w:tcPr>
            <w:tcW w:w="4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Selected Financial Data</w:t>
            </w:r>
          </w:p>
        </w:tc>
      </w:tr>
    </w:tbl>
    <w:p>
      <w:pPr>
        <w:ind w:left="627" w:hanging="627"/>
        <w:spacing w:after="0" w:line="238" w:lineRule="auto"/>
        <w:tabs>
          <w:tab w:leader="none" w:pos="6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Discussion and Analysis</w:t>
      </w:r>
    </w:p>
    <w:tbl>
      <w:tblPr>
        <w:tblLayout w:type="fixed"/>
        <w:tblInd w:w="7"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4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of Financial Condition and Results</w:t>
            </w: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Operations......................</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cial Condition and Results of Operations</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11.</w:t>
            </w:r>
          </w:p>
        </w:tc>
        <w:tc>
          <w:tcPr>
            <w:tcW w:w="4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General Information as to</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Prospectus Summary; The Company: Business;</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Registrant.........................</w:t>
            </w: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Imperial Credit Mortgage Holdings, Inc.; Imperial</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12.</w:t>
            </w:r>
          </w:p>
        </w:tc>
        <w:tc>
          <w:tcPr>
            <w:tcW w:w="4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Policy with Respect to Certain</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Inside Front Cover Page of Prospectus; Risk Fac-</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tors; Business; Description of Capital Stock;</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Information</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13.</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Policies of Registrant...</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Prospectus Summary; Risk Factors; Business;</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Imperial Credit Mortgage Holdings, Inc.; Imperial</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14.</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Description of Real Estate..........</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15.</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Data......................</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16.</w:t>
            </w:r>
          </w:p>
        </w:tc>
        <w:tc>
          <w:tcPr>
            <w:tcW w:w="4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Tax Treatment of Registrant and Its</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Prospectus Summary; Risk Factors; Federal Income</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Security Holders...................</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Tax Considerations; ERISA Investors</w:t>
            </w:r>
          </w:p>
        </w:tc>
      </w:tr>
    </w:tbl>
    <w:p>
      <w:pPr>
        <w:ind w:left="627" w:hanging="627"/>
        <w:spacing w:after="0" w:line="238" w:lineRule="auto"/>
        <w:tabs>
          <w:tab w:leader="none" w:pos="6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Price of and Dividends on the</w:t>
      </w:r>
    </w:p>
    <w:tbl>
      <w:tblPr>
        <w:tblLayout w:type="fixed"/>
        <w:tblInd w:w="7"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40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Registrant's Common Equity and</w:t>
            </w:r>
          </w:p>
        </w:tc>
        <w:tc>
          <w:tcPr>
            <w:tcW w:w="5160" w:type="dxa"/>
            <w:vAlign w:val="bottom"/>
          </w:tcPr>
          <w:p>
            <w:pPr>
              <w:ind w:left="100"/>
              <w:spacing w:after="0"/>
              <w:rPr>
                <w:sz w:val="20"/>
                <w:szCs w:val="20"/>
                <w:color w:val="auto"/>
              </w:rPr>
            </w:pPr>
            <w:r>
              <w:rPr>
                <w:rFonts w:ascii="Courier New" w:cs="Courier New" w:eastAsia="Courier New" w:hAnsi="Courier New"/>
                <w:sz w:val="18"/>
                <w:szCs w:val="18"/>
                <w:color w:val="auto"/>
              </w:rPr>
              <w:t>Dividend Policy and Distributions; Security</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Related Stockholder Matters........</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Ownership of Certain Beneficial Owners;</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Stockholders;</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Imperial Credit Mortgage Holdings,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Imperial Credit Advisors, Inc.; Shares Eligible</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Future Sale; Underwriting</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18.</w:t>
            </w:r>
          </w:p>
        </w:tc>
        <w:tc>
          <w:tcPr>
            <w:tcW w:w="40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Description of Registrant's</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Outside Front Cover Page of Prospectus;</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Securities.........................</w:t>
            </w: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Prospectus Summary; Description of Capital</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Stock; Federal Income Tax Considerations; ERISA</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Investors</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19.</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Legal Proceedings...................</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w:t>
            </w:r>
          </w:p>
        </w:tc>
      </w:tr>
    </w:tbl>
    <w:p>
      <w:pPr>
        <w:ind w:left="627" w:hanging="627"/>
        <w:spacing w:after="0" w:line="238" w:lineRule="auto"/>
        <w:tabs>
          <w:tab w:leader="none" w:pos="6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Ownership of Certain</w:t>
      </w:r>
    </w:p>
    <w:tbl>
      <w:tblPr>
        <w:tblLayout w:type="fixed"/>
        <w:tblInd w:w="7"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40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Beneficial Owners and</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Outside Front Cover Page of Prospectus;</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Management........................</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Stockholders</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21.</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Directors and Executive Officers....</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Imperial Credit Mortgage Holdings,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Imperial 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22.</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Executive Compensation..............</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Imperial Credit Mortgage Holdings,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Imperial 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23.</w:t>
            </w:r>
          </w:p>
        </w:tc>
        <w:tc>
          <w:tcPr>
            <w:tcW w:w="4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Certain Relationships and Related</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Certain Transactions; Risk Factors; Imperial</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Transactions.......................</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Credit Mortgage Holdings, Inc.; Imperial Credit</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Advisors, Inc.; Relationships with Affiliates</w:t>
            </w:r>
          </w:p>
        </w:tc>
      </w:tr>
    </w:tbl>
    <w:p>
      <w:pPr>
        <w:spacing w:after="0" w:line="4" w:lineRule="exact"/>
        <w:rPr>
          <w:sz w:val="20"/>
          <w:szCs w:val="20"/>
          <w:color w:val="auto"/>
        </w:rPr>
      </w:pPr>
    </w:p>
    <w:p>
      <w:pPr>
        <w:ind w:left="627" w:hanging="627"/>
        <w:spacing w:after="0"/>
        <w:tabs>
          <w:tab w:leader="none" w:pos="6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Management and Custody of  Risk Factors; Imperial Credit Mortgage Holdings,</w:t>
      </w:r>
    </w:p>
    <w:p>
      <w:pPr>
        <w:spacing w:after="0" w:line="16"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4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Registrant's Investments...........</w:t>
            </w: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Inc.; Imperial Credit Advisors,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Relationships with Affiliates</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25.</w:t>
            </w:r>
          </w:p>
        </w:tc>
        <w:tc>
          <w:tcPr>
            <w:tcW w:w="4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Policies with Respect to Certain</w:t>
            </w:r>
          </w:p>
        </w:tc>
        <w:tc>
          <w:tcPr>
            <w:tcW w:w="4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Certain Transactions; Risk Factors; Business;</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Transactions.......................</w:t>
            </w:r>
          </w:p>
        </w:tc>
        <w:tc>
          <w:tcPr>
            <w:tcW w:w="4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Imperial Credit Mortgage Holdings,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Imperial 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26.</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Limitations of Liability............</w:t>
            </w:r>
          </w:p>
        </w:tc>
        <w:tc>
          <w:tcPr>
            <w:tcW w:w="4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Imperial Credit Mortgage Holdings, Inc.;</w:t>
            </w:r>
          </w:p>
        </w:tc>
      </w:tr>
      <w:tr>
        <w:trPr>
          <w:trHeight w:val="203"/>
        </w:trPr>
        <w:tc>
          <w:tcPr>
            <w:tcW w:w="4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Imperial Credit Advisors, Inc.</w:t>
            </w:r>
          </w:p>
        </w:tc>
      </w:tr>
      <w:tr>
        <w:trPr>
          <w:trHeight w:val="203"/>
        </w:trPr>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6"/>
              </w:rPr>
              <w:t>27.</w:t>
            </w:r>
          </w:p>
        </w:tc>
        <w:tc>
          <w:tcPr>
            <w:tcW w:w="4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Statements and</w:t>
            </w:r>
          </w:p>
        </w:tc>
        <w:tc>
          <w:tcPr>
            <w:tcW w:w="4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Independent Auditors' Reports; Selected Finan-</w:t>
            </w:r>
          </w:p>
        </w:tc>
      </w:tr>
      <w:tr>
        <w:trPr>
          <w:trHeight w:val="203"/>
        </w:trPr>
        <w:tc>
          <w:tcPr>
            <w:tcW w:w="460" w:type="dxa"/>
            <w:vAlign w:val="bottom"/>
          </w:tcPr>
          <w:p>
            <w:pPr>
              <w:spacing w:after="0"/>
              <w:rPr>
                <w:sz w:val="17"/>
                <w:szCs w:val="17"/>
                <w:color w:val="auto"/>
              </w:rPr>
            </w:pP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Information........................</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cial Data; Pro Forma Financial Data</w:t>
            </w:r>
          </w:p>
        </w:tc>
      </w:tr>
    </w:tbl>
    <w:p>
      <w:pPr>
        <w:ind w:left="627" w:hanging="627"/>
        <w:spacing w:after="0" w:line="238" w:lineRule="auto"/>
        <w:tabs>
          <w:tab w:leader="none" w:pos="6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of Named Experts and</w:t>
      </w:r>
    </w:p>
    <w:p>
      <w:pPr>
        <w:ind w:left="747"/>
        <w:spacing w:after="0"/>
        <w:tabs>
          <w:tab w:leader="none" w:pos="4606" w:val="left"/>
        </w:tabs>
        <w:rPr>
          <w:sz w:val="20"/>
          <w:szCs w:val="20"/>
          <w:color w:val="auto"/>
        </w:rPr>
      </w:pPr>
      <w:r>
        <w:rPr>
          <w:rFonts w:ascii="Courier New" w:cs="Courier New" w:eastAsia="Courier New" w:hAnsi="Courier New"/>
          <w:sz w:val="18"/>
          <w:szCs w:val="18"/>
          <w:color w:val="auto"/>
        </w:rPr>
        <w:t>Counsel............................</w:t>
      </w:r>
      <w:r>
        <w:rPr>
          <w:sz w:val="20"/>
          <w:szCs w:val="20"/>
          <w:color w:val="auto"/>
        </w:rPr>
        <w:tab/>
      </w:r>
      <w:r>
        <w:rPr>
          <w:rFonts w:ascii="Courier New" w:cs="Courier New" w:eastAsia="Courier New" w:hAnsi="Courier New"/>
          <w:sz w:val="16"/>
          <w:szCs w:val="16"/>
          <w:color w:val="auto"/>
        </w:rPr>
        <w:t>Legal Matters; Experts</w:t>
      </w:r>
    </w:p>
    <w:p>
      <w:pPr>
        <w:sectPr>
          <w:pgSz w:w="11900" w:h="16838" w:orient="portrait"/>
          <w:cols w:equalWidth="0" w:num="1">
            <w:col w:w="10106"/>
          </w:cols>
          <w:pgMar w:left="353" w:top="717" w:right="1440" w:bottom="0" w:gutter="0" w:footer="0" w:header="0"/>
        </w:sectPr>
      </w:pPr>
    </w:p>
    <w:bookmarkStart w:id="3" w:name="page4"/>
    <w:bookmarkEnd w:id="3"/>
    <w:p>
      <w:pPr>
        <w:jc w:val="center"/>
        <w:ind w:left="860" w:right="5679" w:hanging="747"/>
        <w:spacing w:after="0" w:line="268" w:lineRule="auto"/>
        <w:tabs>
          <w:tab w:leader="none" w:pos="7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of Commission Position on Indemnification for Securities Act</w:t>
      </w:r>
    </w:p>
    <w:p>
      <w:pPr>
        <w:ind w:left="860"/>
        <w:spacing w:after="0"/>
        <w:tabs>
          <w:tab w:leader="none" w:pos="4840" w:val="left"/>
        </w:tabs>
        <w:rPr>
          <w:sz w:val="20"/>
          <w:szCs w:val="20"/>
          <w:color w:val="auto"/>
        </w:rPr>
      </w:pPr>
      <w:r>
        <w:rPr>
          <w:rFonts w:ascii="Courier New" w:cs="Courier New" w:eastAsia="Courier New" w:hAnsi="Courier New"/>
          <w:sz w:val="18"/>
          <w:szCs w:val="18"/>
          <w:color w:val="auto"/>
        </w:rPr>
        <w:t>Liabilities........................</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Not Applicable</w:t>
      </w:r>
    </w:p>
    <w:p>
      <w:pPr>
        <w:sectPr>
          <w:pgSz w:w="11900" w:h="16838" w:orient="portrait"/>
          <w:cols w:equalWidth="0" w:num="1">
            <w:col w:w="10219"/>
          </w:cols>
          <w:pgMar w:left="240" w:top="14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SUBJECT TO COMPLETION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PRELIMINARY PROSPECTUS DATED MAY 17, 1996</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2,500,000 SHARES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[LOGO of IMPERIAL CREDIT]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All of the shares of Common Stock offered hereby are being sold by Imperial Credit Mortgage Holdings, Inc. (the "Company"). The Common Stock is listed on the American Stock Exchange (the "AMEX") under the symbol "IMH". On May 15, 1996, the last reported sale price of the Common Stock as reported by the AMEX was $15.50 per share. See "Price Range of Common Stock."</w:t>
      </w:r>
    </w:p>
    <w:p>
      <w:pPr>
        <w:spacing w:after="0" w:line="185"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SEE "RISK FACTORS" STARTING ON PAGE 7 FOR A DISCUSSION OF CERTAIN FACTORS THAT SHOULD BE CONSIDERED BY PROSPECTIVE PURCHASERS OF THE SHARES OF COMMON STOCK OFFERED HEREBY. THESE RISKS INCLUDE:</w:t>
      </w:r>
    </w:p>
    <w:p>
      <w:pPr>
        <w:sectPr>
          <w:pgSz w:w="11900" w:h="16838" w:orient="portrait"/>
          <w:cols w:equalWidth="0" w:num="1">
            <w:col w:w="10219"/>
          </w:cols>
          <w:pgMar w:left="240" w:top="723" w:right="1440" w:bottom="0" w:gutter="0" w:footer="0" w:header="0"/>
        </w:sectPr>
      </w:pP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Changes in Interest</w:t>
      </w:r>
    </w:p>
    <w:p>
      <w:pPr>
        <w:ind w:left="220"/>
        <w:spacing w:after="0" w:line="238" w:lineRule="auto"/>
        <w:rPr>
          <w:sz w:val="20"/>
          <w:szCs w:val="20"/>
          <w:color w:val="auto"/>
        </w:rPr>
      </w:pPr>
      <w:r>
        <w:rPr>
          <w:rFonts w:ascii="Courier New" w:cs="Courier New" w:eastAsia="Courier New" w:hAnsi="Courier New"/>
          <w:sz w:val="18"/>
          <w:szCs w:val="18"/>
          <w:color w:val="auto"/>
        </w:rPr>
        <w:t>Rates; Prepayment</w:t>
      </w:r>
    </w:p>
    <w:p>
      <w:pPr>
        <w:ind w:left="220"/>
        <w:spacing w:after="0"/>
        <w:rPr>
          <w:sz w:val="20"/>
          <w:szCs w:val="20"/>
          <w:color w:val="auto"/>
        </w:rPr>
      </w:pPr>
      <w:r>
        <w:rPr>
          <w:rFonts w:ascii="Courier New" w:cs="Courier New" w:eastAsia="Courier New" w:hAnsi="Courier New"/>
          <w:sz w:val="18"/>
          <w:szCs w:val="18"/>
          <w:color w:val="auto"/>
        </w:rPr>
        <w:t>Risks</w:t>
      </w:r>
    </w:p>
    <w:p>
      <w:pPr>
        <w:ind w:left="120"/>
        <w:spacing w:after="0" w:line="237" w:lineRule="auto"/>
        <w:rPr>
          <w:sz w:val="20"/>
          <w:szCs w:val="20"/>
          <w:color w:val="auto"/>
        </w:rPr>
      </w:pPr>
      <w:r>
        <w:rPr>
          <w:rFonts w:ascii="Courier New" w:cs="Courier New" w:eastAsia="Courier New" w:hAnsi="Courier New"/>
          <w:sz w:val="18"/>
          <w:szCs w:val="18"/>
          <w:color w:val="auto"/>
        </w:rPr>
        <w:t>. Hedging Strategies</w:t>
      </w:r>
    </w:p>
    <w:p>
      <w:pPr>
        <w:ind w:left="120"/>
        <w:spacing w:after="0" w:line="238" w:lineRule="auto"/>
        <w:rPr>
          <w:sz w:val="20"/>
          <w:szCs w:val="20"/>
          <w:color w:val="auto"/>
        </w:rPr>
      </w:pPr>
      <w:r>
        <w:rPr>
          <w:rFonts w:ascii="Courier New" w:cs="Courier New" w:eastAsia="Courier New" w:hAnsi="Courier New"/>
          <w:sz w:val="18"/>
          <w:szCs w:val="18"/>
          <w:color w:val="auto"/>
        </w:rPr>
        <w:t>. Risks Relating to</w:t>
      </w:r>
    </w:p>
    <w:p>
      <w:pPr>
        <w:ind w:left="220"/>
        <w:spacing w:after="0"/>
        <w:rPr>
          <w:sz w:val="20"/>
          <w:szCs w:val="20"/>
          <w:color w:val="auto"/>
        </w:rPr>
      </w:pPr>
      <w:r>
        <w:rPr>
          <w:rFonts w:ascii="Courier New" w:cs="Courier New" w:eastAsia="Courier New" w:hAnsi="Courier New"/>
          <w:sz w:val="18"/>
          <w:szCs w:val="18"/>
          <w:color w:val="auto"/>
        </w:rPr>
        <w:t>Operations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Risks of Potential Net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and</w:t>
      </w:r>
    </w:p>
    <w:p>
      <w:pPr>
        <w:ind w:left="220"/>
        <w:spacing w:after="0" w:line="238" w:lineRule="auto"/>
        <w:rPr>
          <w:sz w:val="20"/>
          <w:szCs w:val="20"/>
          <w:color w:val="auto"/>
        </w:rPr>
      </w:pPr>
      <w:r>
        <w:rPr>
          <w:rFonts w:ascii="Courier New" w:cs="Courier New" w:eastAsia="Courier New" w:hAnsi="Courier New"/>
          <w:sz w:val="18"/>
          <w:szCs w:val="18"/>
          <w:color w:val="auto"/>
        </w:rPr>
        <w:t>OperatingLosses in</w:t>
      </w:r>
    </w:p>
    <w:p>
      <w:pPr>
        <w:ind w:left="220"/>
        <w:spacing w:after="0"/>
        <w:rPr>
          <w:sz w:val="20"/>
          <w:szCs w:val="20"/>
          <w:color w:val="auto"/>
        </w:rPr>
      </w:pPr>
      <w:r>
        <w:rPr>
          <w:rFonts w:ascii="Courier New" w:cs="Courier New" w:eastAsia="Courier New" w:hAnsi="Courier New"/>
          <w:sz w:val="18"/>
          <w:szCs w:val="18"/>
          <w:color w:val="auto"/>
        </w:rPr>
        <w:t>Connection with</w:t>
      </w:r>
    </w:p>
    <w:p>
      <w:pPr>
        <w:ind w:left="220"/>
        <w:spacing w:after="0" w:line="237" w:lineRule="auto"/>
        <w:rPr>
          <w:sz w:val="20"/>
          <w:szCs w:val="20"/>
          <w:color w:val="auto"/>
        </w:rPr>
      </w:pPr>
      <w:r>
        <w:rPr>
          <w:rFonts w:ascii="Courier New" w:cs="Courier New" w:eastAsia="Courier New" w:hAnsi="Courier New"/>
          <w:sz w:val="18"/>
          <w:szCs w:val="18"/>
          <w:color w:val="auto"/>
        </w:rPr>
        <w:t>Borrowings</w:t>
      </w:r>
    </w:p>
    <w:p>
      <w:pPr>
        <w:ind w:left="220"/>
        <w:spacing w:after="0" w:line="238" w:lineRule="auto"/>
        <w:rPr>
          <w:sz w:val="20"/>
          <w:szCs w:val="20"/>
          <w:color w:val="auto"/>
        </w:rPr>
      </w:pPr>
      <w:r>
        <w:rPr>
          <w:rFonts w:ascii="Courier New" w:cs="Courier New" w:eastAsia="Courier New" w:hAnsi="Courier New"/>
          <w:sz w:val="18"/>
          <w:szCs w:val="18"/>
          <w:color w:val="auto"/>
        </w:rPr>
        <w:t>andSubstantial</w:t>
      </w:r>
    </w:p>
    <w:p>
      <w:pPr>
        <w:ind w:left="220"/>
        <w:spacing w:after="0"/>
        <w:rPr>
          <w:sz w:val="20"/>
          <w:szCs w:val="20"/>
          <w:color w:val="auto"/>
        </w:rPr>
      </w:pPr>
      <w:r>
        <w:rPr>
          <w:rFonts w:ascii="Courier New" w:cs="Courier New" w:eastAsia="Courier New" w:hAnsi="Courier New"/>
          <w:sz w:val="18"/>
          <w:szCs w:val="18"/>
          <w:color w:val="auto"/>
        </w:rPr>
        <w:t>Leverage; Liquidity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Demand for Residential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Mortgage Loans and the</w:t>
      </w:r>
    </w:p>
    <w:p>
      <w:pPr>
        <w:ind w:left="220"/>
        <w:spacing w:after="0" w:line="238" w:lineRule="auto"/>
        <w:rPr>
          <w:sz w:val="20"/>
          <w:szCs w:val="20"/>
          <w:color w:val="auto"/>
        </w:rPr>
      </w:pPr>
      <w:r>
        <w:rPr>
          <w:rFonts w:ascii="Courier New" w:cs="Courier New" w:eastAsia="Courier New" w:hAnsi="Courier New"/>
          <w:sz w:val="18"/>
          <w:szCs w:val="18"/>
          <w:color w:val="auto"/>
        </w:rPr>
        <w:t>Company's Non-</w:t>
      </w:r>
    </w:p>
    <w:p>
      <w:pPr>
        <w:ind w:left="220"/>
        <w:spacing w:after="0"/>
        <w:rPr>
          <w:sz w:val="20"/>
          <w:szCs w:val="20"/>
          <w:color w:val="auto"/>
        </w:rPr>
      </w:pPr>
      <w:r>
        <w:rPr>
          <w:rFonts w:ascii="Courier New" w:cs="Courier New" w:eastAsia="Courier New" w:hAnsi="Courier New"/>
          <w:sz w:val="18"/>
          <w:szCs w:val="18"/>
          <w:color w:val="auto"/>
        </w:rPr>
        <w:t>Conforming Loan</w:t>
      </w:r>
    </w:p>
    <w:p>
      <w:pPr>
        <w:ind w:left="220"/>
        <w:spacing w:after="0" w:line="237" w:lineRule="auto"/>
        <w:rPr>
          <w:sz w:val="20"/>
          <w:szCs w:val="20"/>
          <w:color w:val="auto"/>
        </w:rPr>
      </w:pPr>
      <w:r>
        <w:rPr>
          <w:rFonts w:ascii="Courier New" w:cs="Courier New" w:eastAsia="Courier New" w:hAnsi="Courier New"/>
          <w:sz w:val="18"/>
          <w:szCs w:val="18"/>
          <w:color w:val="auto"/>
        </w:rPr>
        <w:t>Products</w:t>
      </w:r>
    </w:p>
    <w:p>
      <w:pPr>
        <w:ind w:left="120"/>
        <w:spacing w:after="0" w:line="238" w:lineRule="auto"/>
        <w:rPr>
          <w:sz w:val="20"/>
          <w:szCs w:val="20"/>
          <w:color w:val="auto"/>
        </w:rPr>
      </w:pPr>
      <w:r>
        <w:rPr>
          <w:rFonts w:ascii="Courier New" w:cs="Courier New" w:eastAsia="Courier New" w:hAnsi="Courier New"/>
          <w:sz w:val="18"/>
          <w:szCs w:val="18"/>
          <w:color w:val="auto"/>
        </w:rPr>
        <w:t>. Limited History of</w:t>
      </w:r>
    </w:p>
    <w:p>
      <w:pPr>
        <w:ind w:left="220"/>
        <w:spacing w:after="0"/>
        <w:rPr>
          <w:sz w:val="20"/>
          <w:szCs w:val="20"/>
          <w:color w:val="auto"/>
        </w:rPr>
      </w:pPr>
      <w:r>
        <w:rPr>
          <w:rFonts w:ascii="Courier New" w:cs="Courier New" w:eastAsia="Courier New" w:hAnsi="Courier New"/>
          <w:sz w:val="18"/>
          <w:szCs w:val="18"/>
          <w:color w:val="auto"/>
        </w:rPr>
        <w:t>Operations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Recent and Planned Expansion; Reliance on ICII's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Origination Capability</w:t>
      </w:r>
    </w:p>
    <w:p>
      <w:pPr>
        <w:spacing w:after="0" w:line="238" w:lineRule="auto"/>
        <w:rPr>
          <w:sz w:val="20"/>
          <w:szCs w:val="20"/>
          <w:color w:val="auto"/>
        </w:rPr>
      </w:pPr>
      <w:r>
        <w:rPr>
          <w:rFonts w:ascii="Courier New" w:cs="Courier New" w:eastAsia="Courier New" w:hAnsi="Courier New"/>
          <w:sz w:val="18"/>
          <w:szCs w:val="18"/>
          <w:color w:val="auto"/>
        </w:rPr>
        <w:t>. Competition for Mortgage Loans</w:t>
      </w:r>
    </w:p>
    <w:p>
      <w:pPr>
        <w:ind w:left="120"/>
        <w:spacing w:after="0"/>
        <w:rPr>
          <w:sz w:val="20"/>
          <w:szCs w:val="20"/>
          <w:color w:val="auto"/>
        </w:rPr>
      </w:pPr>
      <w:r>
        <w:rPr>
          <w:rFonts w:ascii="Courier New" w:cs="Courier New" w:eastAsia="Courier New" w:hAnsi="Courier New"/>
          <w:sz w:val="18"/>
          <w:szCs w:val="18"/>
          <w:color w:val="auto"/>
        </w:rPr>
        <w:t>. Experience of the Manager in Managing a REIT</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Consequences of Failure to Maintain REIT Status;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Company Subject to Tax as a Regular Corporation</w:t>
      </w:r>
    </w:p>
    <w:p>
      <w:pPr>
        <w:ind w:left="120"/>
        <w:spacing w:after="0" w:line="238" w:lineRule="auto"/>
        <w:rPr>
          <w:sz w:val="20"/>
          <w:szCs w:val="20"/>
          <w:color w:val="auto"/>
        </w:rPr>
      </w:pPr>
      <w:r>
        <w:rPr>
          <w:rFonts w:ascii="Courier New" w:cs="Courier New" w:eastAsia="Courier New" w:hAnsi="Courier New"/>
          <w:sz w:val="18"/>
          <w:szCs w:val="18"/>
          <w:color w:val="auto"/>
        </w:rPr>
        <w:t>. Investment Company Act Risk</w:t>
      </w:r>
    </w:p>
    <w:p>
      <w:pPr>
        <w:spacing w:after="0"/>
        <w:rPr>
          <w:sz w:val="20"/>
          <w:szCs w:val="20"/>
          <w:color w:val="auto"/>
        </w:rPr>
      </w:pPr>
      <w:r>
        <w:rPr>
          <w:rFonts w:ascii="Courier New" w:cs="Courier New" w:eastAsia="Courier New" w:hAnsi="Courier New"/>
          <w:sz w:val="18"/>
          <w:szCs w:val="18"/>
          <w:color w:val="auto"/>
        </w:rPr>
        <w:t>. Preferred Stock; Restrictions on Ownership of</w:t>
      </w:r>
    </w:p>
    <w:p>
      <w:pPr>
        <w:ind w:left="220"/>
        <w:spacing w:after="0" w:line="237" w:lineRule="auto"/>
        <w:rPr>
          <w:sz w:val="20"/>
          <w:szCs w:val="20"/>
          <w:color w:val="auto"/>
        </w:rPr>
      </w:pPr>
      <w:r>
        <w:rPr>
          <w:rFonts w:ascii="Courier New" w:cs="Courier New" w:eastAsia="Courier New" w:hAnsi="Courier New"/>
          <w:sz w:val="18"/>
          <w:szCs w:val="18"/>
          <w:color w:val="auto"/>
        </w:rPr>
        <w:t>Common Stock; Anti-Takeover Risk</w:t>
      </w:r>
    </w:p>
    <w:p>
      <w:pPr>
        <w:spacing w:after="0" w:line="2429" w:lineRule="exact"/>
        <w:rPr>
          <w:sz w:val="20"/>
          <w:szCs w:val="20"/>
          <w:color w:val="auto"/>
        </w:rPr>
      </w:pPr>
    </w:p>
    <w:p>
      <w:pPr>
        <w:sectPr>
          <w:pgSz w:w="11900" w:h="16838" w:orient="portrait"/>
          <w:cols w:equalWidth="0" w:num="2">
            <w:col w:w="2640" w:space="100"/>
            <w:col w:w="7479"/>
          </w:cols>
          <w:pgMar w:left="240" w:top="723" w:right="1440" w:bottom="0" w:gutter="0" w:footer="0" w:header="0"/>
          <w:type w:val="continuous"/>
        </w:sectPr>
      </w:pP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0" w:gutter="0" w:footer="0" w:header="0"/>
          <w:type w:val="continuous"/>
        </w:sectPr>
      </w:pPr>
    </w:p>
    <w:p>
      <w:pPr>
        <w:spacing w:after="0" w:line="224" w:lineRule="exact"/>
        <w:rPr>
          <w:sz w:val="20"/>
          <w:szCs w:val="20"/>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420"/>
        <w:spacing w:after="0" w:line="234" w:lineRule="auto"/>
        <w:rPr>
          <w:sz w:val="20"/>
          <w:szCs w:val="20"/>
          <w:color w:val="auto"/>
        </w:rPr>
      </w:pPr>
      <w:r>
        <w:rPr>
          <w:rFonts w:ascii="Courier New" w:cs="Courier New" w:eastAsia="Courier New" w:hAnsi="Courier New"/>
          <w:sz w:val="18"/>
          <w:szCs w:val="18"/>
          <w:color w:val="auto"/>
        </w:rPr>
        <w:t>REPRESENTATION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CONTRARY IS A CRIMINAL OFFENSE.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1999"/>
        <w:spacing w:after="0" w:line="268"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ind w:left="220" w:hanging="212"/>
        <w:spacing w:after="0" w:line="233"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Underwriting</w:t>
      </w:r>
    </w:p>
    <w:p>
      <w:pPr>
        <w:ind w:left="4220"/>
        <w:spacing w:after="0"/>
        <w:tabs>
          <w:tab w:leader="none" w:pos="6100" w:val="left"/>
          <w:tab w:leader="none" w:pos="8320" w:val="left"/>
        </w:tabs>
        <w:rPr>
          <w:sz w:val="20"/>
          <w:szCs w:val="20"/>
          <w:color w:val="auto"/>
        </w:rPr>
      </w:pPr>
      <w:r>
        <w:rPr>
          <w:rFonts w:ascii="Courier New" w:cs="Courier New" w:eastAsia="Courier New" w:hAnsi="Courier New"/>
          <w:sz w:val="18"/>
          <w:szCs w:val="18"/>
          <w:color w:val="auto"/>
        </w:rPr>
        <w:t>Price to</w:t>
      </w:r>
      <w:r>
        <w:rPr>
          <w:sz w:val="20"/>
          <w:szCs w:val="20"/>
          <w:color w:val="auto"/>
        </w:rPr>
        <w:tab/>
      </w:r>
      <w:r>
        <w:rPr>
          <w:rFonts w:ascii="Courier New" w:cs="Courier New" w:eastAsia="Courier New" w:hAnsi="Courier New"/>
          <w:sz w:val="18"/>
          <w:szCs w:val="18"/>
          <w:color w:val="auto"/>
        </w:rPr>
        <w:t>Discounts and</w:t>
      </w:r>
      <w:r>
        <w:rPr>
          <w:sz w:val="20"/>
          <w:szCs w:val="20"/>
          <w:color w:val="auto"/>
        </w:rPr>
        <w:tab/>
      </w:r>
      <w:r>
        <w:rPr>
          <w:rFonts w:ascii="Courier New" w:cs="Courier New" w:eastAsia="Courier New" w:hAnsi="Courier New"/>
          <w:sz w:val="16"/>
          <w:szCs w:val="16"/>
          <w:color w:val="auto"/>
        </w:rPr>
        <w:t>Proceeds to</w:t>
      </w:r>
    </w:p>
    <w:p>
      <w:pPr>
        <w:ind w:left="4320"/>
        <w:spacing w:after="0"/>
        <w:tabs>
          <w:tab w:leader="none" w:pos="6000" w:val="left"/>
          <w:tab w:leader="none" w:pos="8320" w:val="left"/>
        </w:tabs>
        <w:rPr>
          <w:sz w:val="20"/>
          <w:szCs w:val="20"/>
          <w:color w:val="auto"/>
        </w:rPr>
      </w:pPr>
      <w:r>
        <w:rPr>
          <w:rFonts w:ascii="Courier New" w:cs="Courier New" w:eastAsia="Courier New" w:hAnsi="Courier New"/>
          <w:sz w:val="18"/>
          <w:szCs w:val="18"/>
          <w:color w:val="auto"/>
        </w:rPr>
        <w:t>Public</w:t>
      </w:r>
      <w:r>
        <w:rPr>
          <w:sz w:val="20"/>
          <w:szCs w:val="20"/>
          <w:color w:val="auto"/>
        </w:rPr>
        <w:tab/>
      </w:r>
      <w:r>
        <w:rPr>
          <w:rFonts w:ascii="Courier New" w:cs="Courier New" w:eastAsia="Courier New" w:hAnsi="Courier New"/>
          <w:sz w:val="18"/>
          <w:szCs w:val="18"/>
          <w:color w:val="auto"/>
        </w:rPr>
        <w:t>Commissions (1)</w:t>
      </w:r>
      <w:r>
        <w:rPr>
          <w:sz w:val="20"/>
          <w:szCs w:val="20"/>
          <w:color w:val="auto"/>
        </w:rPr>
        <w:tab/>
      </w:r>
      <w:r>
        <w:rPr>
          <w:rFonts w:ascii="Courier New" w:cs="Courier New" w:eastAsia="Courier New" w:hAnsi="Courier New"/>
          <w:sz w:val="16"/>
          <w:szCs w:val="16"/>
          <w:color w:val="auto"/>
        </w:rPr>
        <w:t>Company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520" w:val="left"/>
          <w:tab w:leader="none" w:pos="6620" w:val="left"/>
          <w:tab w:leader="none" w:pos="874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420" w:val="left"/>
          <w:tab w:leader="none" w:pos="6520" w:val="left"/>
          <w:tab w:leader="none" w:pos="862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Total Assuming Full Exercise of</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Over-Allotment Option (3).......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3720" w:space="720"/>
            <w:col w:w="1380" w:space="720"/>
            <w:col w:w="1380" w:space="720"/>
            <w:col w:w="1579"/>
          </w:cols>
          <w:pgMar w:left="240" w:top="142" w:right="1440" w:bottom="1440" w:gutter="0" w:footer="0" w:header="0"/>
          <w:type w:val="continuous"/>
        </w:sectPr>
      </w:pPr>
    </w:p>
    <w:p>
      <w:pPr>
        <w:spacing w:after="0" w:line="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See "Underwriting."</w:t>
      </w:r>
    </w:p>
    <w:p>
      <w:pPr>
        <w:spacing w:after="0" w:line="4" w:lineRule="exact"/>
        <w:rPr>
          <w:rFonts w:ascii="Courier New" w:cs="Courier New" w:eastAsia="Courier New" w:hAnsi="Courier New"/>
          <w:sz w:val="16"/>
          <w:szCs w:val="16"/>
          <w:color w:val="auto"/>
        </w:rPr>
      </w:pPr>
    </w:p>
    <w:p>
      <w:pPr>
        <w:ind w:left="420" w:right="20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Before deducting expenses estimated at $750,000, all of which are payable by the Company.</w:t>
      </w:r>
    </w:p>
    <w:p>
      <w:pPr>
        <w:spacing w:after="0" w:line="5" w:lineRule="exact"/>
        <w:rPr>
          <w:rFonts w:ascii="Courier New" w:cs="Courier New" w:eastAsia="Courier New" w:hAnsi="Courier New"/>
          <w:sz w:val="16"/>
          <w:szCs w:val="16"/>
          <w:color w:val="auto"/>
        </w:rPr>
      </w:pPr>
    </w:p>
    <w:p>
      <w:pPr>
        <w:ind w:left="420" w:right="2099" w:hanging="421"/>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Assuming exercise in full of the 45-day option granted by the Company to the Underwriters to purchase up to 375,000 additional shares, on the same terms, solely to cover over-allotments. See "Underwriting."</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shares of Common Stock are offered by the Underwriters, subject to prior sale, when, as and if delivered to and accepted by the Underwriters, and subject to their right to reject any orders in whole or in part. It is expected that delivery of the Common Stock will be made in New York City on or about</w:t>
      </w:r>
    </w:p>
    <w:p>
      <w:pPr>
        <w:ind w:left="420"/>
        <w:spacing w:after="0" w:line="234" w:lineRule="auto"/>
        <w:rPr>
          <w:sz w:val="20"/>
          <w:szCs w:val="20"/>
          <w:color w:val="auto"/>
        </w:rPr>
      </w:pPr>
      <w:r>
        <w:rPr>
          <w:rFonts w:ascii="Courier New" w:cs="Courier New" w:eastAsia="Courier New" w:hAnsi="Courier New"/>
          <w:sz w:val="18"/>
          <w:szCs w:val="18"/>
          <w:color w:val="auto"/>
        </w:rPr>
        <w:t>, 1996.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PAINEWEBBER INCORPORATED</w:t>
      </w:r>
    </w:p>
    <w:p>
      <w:pPr>
        <w:ind w:left="860"/>
        <w:spacing w:after="0" w:line="238" w:lineRule="auto"/>
        <w:rPr>
          <w:sz w:val="20"/>
          <w:szCs w:val="20"/>
          <w:color w:val="auto"/>
        </w:rPr>
      </w:pPr>
      <w:r>
        <w:rPr>
          <w:rFonts w:ascii="Courier New" w:cs="Courier New" w:eastAsia="Courier New" w:hAnsi="Courier New"/>
          <w:sz w:val="18"/>
          <w:szCs w:val="18"/>
          <w:color w:val="auto"/>
        </w:rPr>
        <w:t>OPPENHEIMER &amp; CO., INC.</w:t>
      </w:r>
    </w:p>
    <w:p>
      <w:pPr>
        <w:ind w:left="1800"/>
        <w:spacing w:after="0"/>
        <w:rPr>
          <w:sz w:val="20"/>
          <w:szCs w:val="20"/>
          <w:color w:val="auto"/>
        </w:rPr>
      </w:pPr>
      <w:r>
        <w:rPr>
          <w:rFonts w:ascii="Courier New" w:cs="Courier New" w:eastAsia="Courier New" w:hAnsi="Courier New"/>
          <w:sz w:val="18"/>
          <w:szCs w:val="18"/>
          <w:color w:val="auto"/>
        </w:rPr>
        <w:t>STIFEL, NICOLAUS &amp; COMPANY</w:t>
      </w:r>
    </w:p>
    <w:p>
      <w:pPr>
        <w:ind w:left="2320"/>
        <w:spacing w:after="0" w:line="237" w:lineRule="auto"/>
        <w:rPr>
          <w:sz w:val="20"/>
          <w:szCs w:val="20"/>
          <w:color w:val="auto"/>
        </w:rPr>
      </w:pPr>
      <w:r>
        <w:rPr>
          <w:rFonts w:ascii="Courier New" w:cs="Courier New" w:eastAsia="Courier New" w:hAnsi="Courier New"/>
          <w:sz w:val="18"/>
          <w:szCs w:val="18"/>
          <w:color w:val="auto"/>
        </w:rPr>
        <w:t>INCORPORATED</w:t>
      </w:r>
    </w:p>
    <w:p>
      <w:pPr>
        <w:ind w:left="5900"/>
        <w:spacing w:after="0" w:line="238" w:lineRule="auto"/>
        <w:rPr>
          <w:sz w:val="20"/>
          <w:szCs w:val="20"/>
          <w:color w:val="auto"/>
        </w:rPr>
      </w:pPr>
      <w:r>
        <w:rPr>
          <w:rFonts w:ascii="Courier New" w:cs="Courier New" w:eastAsia="Courier New" w:hAnsi="Courier New"/>
          <w:sz w:val="18"/>
          <w:szCs w:val="18"/>
          <w:color w:val="auto"/>
        </w:rPr>
        <w:t>EVEREN SECURITIES, INC.</w:t>
      </w:r>
    </w:p>
    <w:p>
      <w:pPr>
        <w:spacing w:after="0" w:line="202"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 1996</w:t>
            </w:r>
          </w:p>
        </w:tc>
      </w:tr>
    </w:tbl>
    <w:p>
      <w:pPr>
        <w:sectPr>
          <w:pgSz w:w="11900" w:h="16838" w:orient="portrait"/>
          <w:cols w:equalWidth="0" w:num="1">
            <w:col w:w="10219"/>
          </w:cols>
          <w:pgMar w:left="240" w:top="142" w:right="1440" w:bottom="1440" w:gutter="0" w:footer="0" w:header="0"/>
          <w:type w:val="continuous"/>
        </w:sectPr>
      </w:pPr>
    </w:p>
    <w:bookmarkStart w:id="6" w:name="page7"/>
    <w:bookmarkEnd w:id="6"/>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Washington, D.C. 20549, a Registration Statement (the "Registration Statement") under the Securities Act of 1933, as amended (the "Securities Act"), with respect to the shares of Common Stock offered hereby. This Prospectus does not contain all of the information set forth in the Registration Statement and the exhibits and schedules thereto. For further information with respect to the Company and the Common Stock offered hereby, reference is made to the Registration Statement and to the exhibits and schedules filed therewith. Statements contained in this Prospectus as to the contents of any contract or other document referred to are not necessarily complete, and in each instance reference is made to the copy of such contract or other document referred as an exhibit to the Registration Statement. A copy of the Registration Statement may be inspected without charge at the offices of the Commission at 450 Fifth Street, N.W., Washington, D.C. 20549, and copies of all or any part of the Registration Statement may be obtained from the Public Reference Section of the Commission, Washington, D.C. 20549 upon the payment of the fees prescribed by the Commission.</w:t>
      </w:r>
    </w:p>
    <w:p>
      <w:pPr>
        <w:spacing w:after="0" w:line="396"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periodic reports and other information with the Commission. The Registration Statement, including the exhibits and schedules thereto, as well as such reports and other information filed by the Company with the Commission, can be inspected, without charge, and copied at the public reference facilities maintained by the Commission at the office of the Commission, 450 Fifth Street, N.W., Washington, D.C. 20549, Room 1024, and at the following Regional Offices of the Commission: 7 World Trade Center, New York, New York 10048, Suite 1300; and 500 West Madison Street, Chicago, Illinois 60661, Suite 1400. Copies of such materials can be obtained from the Public Reference Section of the Commission at 450 Fifth Street, N.W., Washington, D.C, 20549 upon the payment of the fees prescribed by the Commission. Reports, proxy statements and other information concerning the Company can be inspected at the American Stock Exchange, Inc., 86 Trinity Place, New York, New York 10006.</w:t>
      </w:r>
    </w:p>
    <w:p>
      <w:pPr>
        <w:spacing w:after="0" w:line="200" w:lineRule="exact"/>
        <w:rPr>
          <w:sz w:val="20"/>
          <w:szCs w:val="20"/>
          <w:color w:val="auto"/>
        </w:rPr>
      </w:pP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CONNECTION WITH THIS OFFERING, THE UNDERWRITERS MAY OVER-ALLOT OR EFFECT TRANSACTIONS WHICH STABILIZE OR MAINTAIN THE MARKET PRICE OF THE COMMON STOCK OF THE COMPANY AT A LEVEL ABOVE THAT WHICH MIGHT OTHERWISE PREVAIL IN THE OPEN MARKET. SUCH TRANSACTIONS MAY BE EFFECTED ON THE AMERICAN STOCK EXCHANGE, IN OVER-THE-COUNTER MARKET OR OTHERWISE. SUCH STABILIZING, IF COMMENCED, MAY BE DISCONTINUED AT ANY TIME.</w:t>
      </w:r>
    </w:p>
    <w:p>
      <w:pPr>
        <w:sectPr>
          <w:pgSz w:w="11900" w:h="16838" w:orient="portrait"/>
          <w:cols w:equalWidth="0" w:num="1">
            <w:col w:w="10219"/>
          </w:cols>
          <w:pgMar w:left="240" w:top="717" w:right="1440" w:bottom="1440" w:gutter="0" w:footer="0" w:header="0"/>
        </w:sectPr>
      </w:pPr>
    </w:p>
    <w:bookmarkStart w:id="7" w:name="page8"/>
    <w:bookmarkEnd w:id="7"/>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and the consolidated financial statements and related notes appearing elsewhere in this Prospectus. Unless otherwise indicated, the information in this Prospectus assumes that the Underwriters' over-allotment option will not be exercised. Unless the context otherwise requires, references herein to the "Company" refer to Imperial Credit Mortgage Holdings, Inc. ("IMH"), ICI Funding Corporation ("ICIFC") and Imperial Warehouse Lending Group, Inc. ("IWLG"), collectively. References to "IMH" under "Federal Income Tax Considerations" refer to IMH and IWLG, collectively. References in this Prospectus (except for references in the section entitled "Federal Income Tax Considerations") to "IMH" refer to Imperial Credit Mortgage Holdings, Inc. as a separate entity from ICIFC and IWLG. Capitalized and certain other terms used herein shall have the meanings assigned to them in the Glossary.</w:t>
      </w:r>
    </w:p>
    <w:p>
      <w:pPr>
        <w:spacing w:after="0" w:line="3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Prospectus contains forward-looking statements that inherently involve risks and uncertainties. The Company's actual results could differ materially from those anticipated in these forward-looking statements as a of certain factors, including those set forth under "Risk Factors" and elsewhere in this Prospectus.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Imperial Credit Mortgage Holdings, Inc. is a recently-formed specialty finance company, which operates three businesses: (1) the Long-Term Investment Operations, (2) the Conduit Operations, and (3) the Warehouse Lending Operations. The Long-Term Investment Operations is a recently-created business that invests primarily in non-conforming residential mortgage loans and securities backed by such loans. The Conduit Operations primarily purchases and sells or securitizes non-conforming mortgage loans, and the Warehouse Lending Operations provides short-term lines of credit to originators of mortgage loans. These two businesses include certain ongoing operations contributed to the Company by Imperial Credit Industries, Inc. ("ICII"), a leading specialty finance company, on November 20, 1995 (the "Contribution Transaction"). IMH is organized as a real estate investment trust ("REIT") for tax purposes, which allows it generally to pass through earnings to stockholders without federal income tax at the corporate level.</w:t>
      </w:r>
    </w:p>
    <w:p>
      <w:pPr>
        <w:spacing w:after="0" w:line="20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Long-Term Investment Operations. The Long-Term Investment Operations, conducted by IMH, invests primarily in non-conforming residential mortgage loans and mortgage-backed securities secured by or representing interests in such loans and, to a lesser extent, in second mortgage loans. Non-conforming residential mortgage loans are residential mortgages that do not qualify for purchase by government-sponsored agencies such as the Federal National Mortgage Association ("FNMA") and the Federal Home Loan Mortgage Corporation ("FHLMC"). Such loans generally provide higher yields than conforming loans. The principal differences between conforming loans and non-conforming loans include the applicable loan-to-value ratios, the credit and income histories of the mortgagors, the documentation required for approval of the mortgagors, the type of properties securing the mortgage loans, the loan sizes, and the mortgagors' occupancy status with respect to the mortgaged properties. Second mortgage loans are higher yielding mortgage loans made to borrowers owning single-family homes, for the purpose of debt consolidation, home improvements, education and a variety of other purposes. At March 31, 1996, the Company's investment portfolio consisted of $311.5 million of non-conforming mortgage loans and $33.2 million of mortgage-backed or other collateralized securities.</w:t>
      </w:r>
    </w:p>
    <w:p>
      <w:pPr>
        <w:spacing w:after="0" w:line="39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Conduit Operations. The Conduit Operations, conducted by ICIFC, purchases primarily non-conforming mortgage loans and, to a lesser extent, second mortgage loans from its network of third party correspondents and subsequently securitizes or sells such loans to permanent investors, including the Long-Term Investment Operations. ICIFC's ability to design non-conforming mortgage loans, which suit the needs of its correspondent loan originators and their borrowers while providing sufficient credit quality to investors, as well as its efficient loan purchasing process, flexible purchase commitment options and competitive pricing, enables it to compete effectively with other non-conforming mortgage loan conduits. In addition to its ongoing securitizations and sales to third party investors, ICIFC supports the Long-Term Investment Operations of the Company by supplying</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767" w:gutter="0" w:footer="0" w:header="0"/>
        </w:sectPr>
      </w:pPr>
    </w:p>
    <w:bookmarkStart w:id="8" w:name="page9"/>
    <w:bookmarkEnd w:id="8"/>
    <w:p>
      <w:pPr>
        <w:ind w:right="2099"/>
        <w:spacing w:after="0" w:line="270" w:lineRule="auto"/>
        <w:rPr>
          <w:sz w:val="20"/>
          <w:szCs w:val="20"/>
          <w:color w:val="auto"/>
        </w:rPr>
      </w:pPr>
      <w:r>
        <w:rPr>
          <w:rFonts w:ascii="Courier New" w:cs="Courier New" w:eastAsia="Courier New" w:hAnsi="Courier New"/>
          <w:sz w:val="16"/>
          <w:szCs w:val="16"/>
          <w:color w:val="auto"/>
        </w:rPr>
        <w:t>IMH with non-conforming mortgage loans and securities backed by such loans at costs which are lower than would be available through third parties. For the three months ended March 31, 1996, ICIFC acquired $280.5 million in mortgage loans and sold $314.9 million of mortgage loans to the Long-Term Investment Operations. During the years ended December 31, 1995 and 1994, ICIFC acquired mortgage loans from its correspondents, including ICII after the Contribution Transaction, in the amounts of $1.1 billion and $1.7 billion, respectively. Prior to the Contribution Transaction, ICIFC was a division or subsidiary of ICII since 1990. IMH owns 99% of the economic interest in ICIFC while ICII is the holder of all the outstanding voting stock of ICIFC. At March 31, 1996, ICIFC maintained relationships with 223 correspondents.</w:t>
      </w:r>
    </w:p>
    <w:p>
      <w:pPr>
        <w:spacing w:after="0" w:line="39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Warehouse Lending Operations. The Warehouse Lending Operations, conducted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IWLG, provides short-term lines of credit to ICIFC and approved mortgage banks,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most of which are correspondents of ICIFC, to finance mortgage loans during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from the closing of the loans to their sale or other settlement with pre-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 investors. At March 31, 1996, the Warehouse Lending Operations had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$196.1 million in finance receivables outstanding, of which $173.4 million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with ICIFC.</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IMH's principal sources of net income are (1) net income from its Long-Term Investment Operations, (2) dividends from the Conduit Operations at ICIFC, which are fully subject to federal and state income taxes, and (3) net income from IWLG, the Warehouse Lending Operations. The principal source of income from its Long-Term Investment Operations is net interest income, which is the net spread between interest earned on mortgage loans and securities held for investment and the interest costs associated with the borrowings used to finance such loans and securities. The principal sources of income from ICIFC are gains recognized on the sale of mortgage loans and securities, net interest income earned on loans purchased by ICIFC pending their securitization or resale, servicing fees, commitment fees and processing fee income. The principal sources of income from IWLG are the net spread between interest earned on short-term lines of credit (warehouse loans) and the interest costs associated with the borrowings used to finance such loans and the fee income received from the borrowers in connection with such short-term borrowings.</w:t>
      </w:r>
    </w:p>
    <w:p>
      <w:pPr>
        <w:spacing w:after="0" w:line="38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Recent Operating Results. For the three months ended March 31, 1996, the Company's first full quarter of operations, the Company earned $1.7 million or $0.39 per share. On April 16, 1996 the Company declared a dividend of $0.39 per share payable on April 30, 1996, to stockholders of record as of April 24, 1996.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OPERATING STRATEGY</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Company believes that a structural change in the mortgage banking industry has occurred which has increased demand for higher yielding non-conforming mortgage loans. This change has been caused by a number of factors, including: (1) investors' demand for higher yielding assets due to historically low interest rates over the past few years; (2) increased securitization of high-yielding non-conforming mortgage loans by the investment banking industry;</w:t>
      </w:r>
    </w:p>
    <w:p>
      <w:pPr>
        <w:spacing w:after="0" w:line="1" w:lineRule="exact"/>
        <w:rPr>
          <w:sz w:val="20"/>
          <w:szCs w:val="20"/>
          <w:color w:val="auto"/>
        </w:rPr>
      </w:pPr>
    </w:p>
    <w:p>
      <w:pPr>
        <w:ind w:right="187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quantification and development of standardized credit criteria by credit rating agencies for securities backed by non-conforming mortgage loans; (4) increased competition in the securitization industry, which has reduced borrower interest rates and fees, thereby making non-conforming mortgage loans more affordable; and (5) the end of the refinance "boom" of 1992 and 1993, which has caused many mortgage banks, attempting to sustain origination volume, to seek out non-conforming mortgage loan borrowers.</w:t>
      </w:r>
    </w:p>
    <w:p>
      <w:pPr>
        <w:spacing w:after="0" w:line="211"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Company's strategy is to take advantage of the increased demand for non-conforming mortgage loans through ICIFC's network of correspondents, which sells non-conforming mortgage loans to ICIFC for resale or securitization. The Company's strategic objective is to exploit the structural changes in the non-conforming mortgage loan market through the Conduit Operations and to invest in the non-conforming mortgage loans and mortgage-backed securities originated and created by its Conduit Operations. Management believes that the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Long-Term Investment Operations complements the Conduit Operations by providing ICIFC with a reliable investor for a portion of its loan sales and securitizations while ICIFC supports the Long-Term Investment Operations by providing mortgage loans and mortgage-backed securities at costs which are lower than would be available from third parties. The Company believes the Warehouse Lending Operations provide synergies with the Company's other operations because they extend the scope of the Company's relationships with certain of its correspondent loan originators.</w:t>
      </w:r>
    </w:p>
    <w:p>
      <w:pPr>
        <w:spacing w:after="0" w:line="212"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Company purchases, through its network of correspondents, and invests a substantial portion of its portfolio in non-conforming mortgage loans because management believes that there is a large demand for non-conforming mortgage loans and because non-conforming mortgage loans provide an attractive net earnings profile and produce higher yields without commensurately higher credit risks when compared with conforming mortgage loans. The Company's strategy is to increase the percentage of "B" and "C" grade mortgage loans purchased through the Conduit Operations, as well as increasing the portion of such loans for its investment portfolio at the Long-Term Investment Operations. In general, "B" and "C" grade mortgage loans are residential mortgage loans made to borrowers with lower credit ratings than borrowers of higher credit quality, or so called "A" grade mortgage loans, and are normally subject to greater frequency of losses and delinquency. As a result, "B" and "C" grade mortgage loans normally bear a higher rate of interest and higher fees.</w:t>
      </w:r>
    </w:p>
    <w:p>
      <w:pPr>
        <w:spacing w:after="0" w:line="38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Management believes that IMH's tax and corporate structure as a REIT provides it with an advantage over other financial institutions and mortgage banking competitors. As a REIT, IMH can generally pass through earnings to stockholders without federal income tax at the corporate level. Thus, the Company expects to be able to pay higher annual dividends than traditional mortgage lending institutions, which are subject to federal income tax. In addition, management believes that the Company provides a more attractive method of investing in mortgages than regulated financial institutions because the Company is not subject to most of the federal and state regulations imposed upon insured financial institutions, and therefore, will not incur their related costs.</w:t>
      </w:r>
    </w:p>
    <w:p>
      <w:pPr>
        <w:spacing w:after="0" w:line="18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DIVIDEND POLICY AND DISTRIBUTIONS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To maintain its qualification as a REIT, IMH intends to make annual distributions to stockholders of at least 95% of its taxable income (which does not necessarily equal net income as calculated in accordance with GAAP) determined without regard to the deduction for dividends paid and by excluding any net capital gains. The Company declared its initial dividend of $0.08 per share on January 25, 1996 for the period of November 20, 1995 through December 31, 1995 (the "Interim Period") and a dividend of $0.39 per share on April 16, 1996 for the quarter ended March 31, 1996. Any taxable income remaining after the distribution of the regular quarterly dividends will be distributed annually in a special dividend on or prior to the date of the first regular quarterly dividend payment date of the following taxable year. The dividend policy is subject to revision at the discretion of the Board of Directors. All distributions in excess of those required for the Company to maintain REIT status will be made by the Company at the discretion of the Board of Directors and will depend on the taxable earnings of the Company, the financial condition of IMH and such other factors as the Board of Directors deems relevant. The Board of Directors has not established a minimum distribution level. The Company has adopted a Dividend Reinvestment Plan ("DRP") that allows stockholders who have enrolled in the DRP to reinvest their dividends automatically in additional shares of Common Stock at the DRP Purchase Price, which is 97% of the then current market price of such stock. The shares of Common Stock to be acquired for distribution under the DRP may be purchased on the open market or directly from the Company at the option of the Company. See "Dividend Reinvestment Plan."</w:t>
      </w: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MANAGER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Imperial Credit Advisors, Inc. ("ICAI" or the "Manager"), a wholly-owned subsidiary of ICII, oversees the day-to-day operations of the Company, subject to the supervision of the Company's Board of Directors, pursuant to a management agreement (the "Management Agreement") which became effective on November 20,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0" w:name="page11"/>
    <w:bookmarkEnd w:id="10"/>
    <w:p>
      <w:pPr>
        <w:ind w:right="1879"/>
        <w:spacing w:after="0" w:line="269" w:lineRule="auto"/>
        <w:rPr>
          <w:sz w:val="20"/>
          <w:szCs w:val="20"/>
          <w:color w:val="auto"/>
        </w:rPr>
      </w:pPr>
      <w:r>
        <w:rPr>
          <w:rFonts w:ascii="Courier New" w:cs="Courier New" w:eastAsia="Courier New" w:hAnsi="Courier New"/>
          <w:sz w:val="16"/>
          <w:szCs w:val="16"/>
          <w:color w:val="auto"/>
        </w:rPr>
        <w:t>1995. The Manager is involved in three primary activities: (1) asset-liability management--primarily the analysis and oversight of the acquisition, financing and disposition of Company assets; (2) capital management--primarily the oversight of the Company's structuring, analysis, capital raising and investor relations activities; and (3) operations management--primarily the oversight of IMH's operating subsidiaries. ICIFC conducts the Conduit Operations under substantially identical principles, practices and policies implemented when it was a division of ICII. The Manager oversees the operations of ICIFC to ensure that such principles, practices and policies are implemented and followed. The Management Agreement has an initial term of one year, renewable annually by agreement between the Company and the Manager, subject to the approval of a majority of the Unaffiliated Directors. The Management Agreement may be terminated by either party at any time upon 60 days' written notice. In the event that the Management Agreement is terminated or not renewed by the Company without cause, the Company is obligated to pay the Manager a termination or non-renewal fee determined by an independent appraisal. See "Imperial Credit Advisors, Inc.--Management Agreement."</w:t>
      </w:r>
    </w:p>
    <w:p>
      <w:pPr>
        <w:spacing w:after="0" w:line="39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Manager is entitled to receive a per annum base management fee payable monthly in arrears in an amount equal to (1) 3/8 of 1% of Gross Mortgage Assets of IMH composed of other than Agency Certificates, conforming mortgage loans or mortgage-backed securities secured by or representing interests in conforming mortgage loans, plus (2) 1/8 of 1% of the remainder of Gross Mortgage Assets of IMH plus (3) 1/5 of 1% of the average daily asset balance of the outstanding amounts under IWLG's warehouse lending facilities. The Company also pays the Manager, as incentive compensation for each fiscal quarter, an amount equal to 25% of the Net Income of the Company, before deduction of such incentive compensation, in excess of the amount that would produce an annualized Return on Equity equal to the Ten Year U.S. Treasury Rate plus 2% (the "25% Incentive Payment"). "Return on Equity" is computed on Average Net Worth and has no necessary correlation with the actual distributions received by stockholders. The 25% Incentive Payment to the Manager is calculated quarterly in arrears before any income distributions are made to stockholders for the corresponding period. See "Imperial Credit Advisors, Inc.--Management Agreement" for a more detailed explanation of the management fee arrangement and "Glossary" for full definitions of the terms "Gross Mortgage Assets," "Net Income," "Return on Equity," "Ten Year Treasury Rate" and "Average Net Worth."</w:t>
      </w: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Common Stock Offered by the</w:t>
      </w:r>
      <w:r>
        <w:rPr>
          <w:sz w:val="20"/>
          <w:szCs w:val="20"/>
          <w:color w:val="auto"/>
        </w:rPr>
        <w:tab/>
      </w:r>
      <w:r>
        <w:rPr>
          <w:rFonts w:ascii="Courier New" w:cs="Courier New" w:eastAsia="Courier New" w:hAnsi="Courier New"/>
          <w:sz w:val="16"/>
          <w:szCs w:val="16"/>
          <w:color w:val="auto"/>
        </w:rPr>
        <w:t>2,500,000 Shares</w:t>
      </w:r>
    </w:p>
    <w:p>
      <w:pPr>
        <w:ind w:left="120"/>
        <w:spacing w:after="0" w:line="238" w:lineRule="auto"/>
        <w:rPr>
          <w:sz w:val="20"/>
          <w:szCs w:val="20"/>
          <w:color w:val="auto"/>
        </w:rPr>
      </w:pPr>
      <w:r>
        <w:rPr>
          <w:rFonts w:ascii="Courier New" w:cs="Courier New" w:eastAsia="Courier New" w:hAnsi="Courier New"/>
          <w:sz w:val="18"/>
          <w:szCs w:val="18"/>
          <w:color w:val="auto"/>
        </w:rPr>
        <w:t>Company (1)......................</w:t>
      </w:r>
    </w:p>
    <w:p>
      <w:pPr>
        <w:spacing w:after="0"/>
        <w:rPr>
          <w:sz w:val="20"/>
          <w:szCs w:val="20"/>
          <w:color w:val="auto"/>
        </w:rPr>
      </w:pPr>
      <w:r>
        <w:rPr>
          <w:rFonts w:ascii="Courier New" w:cs="Courier New" w:eastAsia="Courier New" w:hAnsi="Courier New"/>
          <w:sz w:val="18"/>
          <w:szCs w:val="18"/>
          <w:color w:val="auto"/>
        </w:rPr>
        <w:t>Common Stock to be Outstanding</w:t>
      </w:r>
    </w:p>
    <w:p>
      <w:pPr>
        <w:ind w:left="120"/>
        <w:spacing w:after="0" w:line="237" w:lineRule="auto"/>
        <w:rPr>
          <w:sz w:val="20"/>
          <w:szCs w:val="20"/>
          <w:color w:val="auto"/>
        </w:rPr>
      </w:pPr>
      <w:r>
        <w:rPr>
          <w:rFonts w:ascii="Courier New" w:cs="Courier New" w:eastAsia="Courier New" w:hAnsi="Courier New"/>
          <w:sz w:val="18"/>
          <w:szCs w:val="18"/>
          <w:color w:val="auto"/>
        </w:rPr>
        <w:t>after the Offering (l)(2)........ 6,750,000 Shares</w:t>
      </w:r>
    </w:p>
    <w:p>
      <w:pPr>
        <w:spacing w:after="0" w:line="238" w:lineRule="auto"/>
        <w:rPr>
          <w:sz w:val="20"/>
          <w:szCs w:val="20"/>
          <w:color w:val="auto"/>
        </w:rPr>
      </w:pPr>
      <w:r>
        <w:rPr>
          <w:rFonts w:ascii="Courier New" w:cs="Courier New" w:eastAsia="Courier New" w:hAnsi="Courier New"/>
          <w:sz w:val="18"/>
          <w:szCs w:val="18"/>
          <w:color w:val="auto"/>
        </w:rPr>
        <w:t>Use of Proceeds................... To provide funding for the Company's Long-</w:t>
      </w:r>
    </w:p>
    <w:p>
      <w:pPr>
        <w:ind w:left="3700"/>
        <w:spacing w:after="0"/>
        <w:rPr>
          <w:sz w:val="20"/>
          <w:szCs w:val="20"/>
          <w:color w:val="auto"/>
        </w:rPr>
      </w:pPr>
      <w:r>
        <w:rPr>
          <w:rFonts w:ascii="Courier New" w:cs="Courier New" w:eastAsia="Courier New" w:hAnsi="Courier New"/>
          <w:sz w:val="18"/>
          <w:szCs w:val="18"/>
          <w:color w:val="auto"/>
        </w:rPr>
        <w:t>Term Investment Operations, its Warehouse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Lending Operations and for general corporate</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purposes.</w:t>
      </w:r>
    </w:p>
    <w:p>
      <w:pPr>
        <w:spacing w:after="0" w:line="238" w:lineRule="auto"/>
        <w:rPr>
          <w:sz w:val="20"/>
          <w:szCs w:val="20"/>
          <w:color w:val="auto"/>
        </w:rPr>
      </w:pPr>
      <w:r>
        <w:rPr>
          <w:rFonts w:ascii="Courier New" w:cs="Courier New" w:eastAsia="Courier New" w:hAnsi="Courier New"/>
          <w:sz w:val="18"/>
          <w:szCs w:val="18"/>
          <w:color w:val="auto"/>
        </w:rPr>
        <w:t>American Stock Exchange Symbol.... "IMH"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68"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that the Underwriters' option to purchase up to an additional 375,000 shares of Common Stock to cover over-allotments is not exercised.</w:t>
      </w:r>
    </w:p>
    <w:p>
      <w:pPr>
        <w:ind w:left="420" w:right="18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400,000 shares reserved for issuance pursuant to the Company's Stock Option Plan, of which options to acquire 250,000 shares are outstanding at a per share exercise price of $11.25 and options to acquire 45,000 shares are outstanding at a per share exercise price of $13.00. The Company intends to increase the number of shares reserved for issuance under its Stock Option Plan by 400,000 shares, subject to stockholder approval, at the annual stockholders' meeting to be held in July 1996. See "Imperial Credit Mortgage Holdings, Inc.--Stock Options."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Before investing in the shares of Common Stock offered hereby, prospective investors should give special consideration to the information set forth below, in addition to the information set forth elsewhere in this Prospectus. The following risk factors are interrelated and, consequently, investors should treat such risk factors as a whole.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Prospectus contains forward-looking statements that inherently involve risks and uncertainties. The Company's actual results could differ materially from those anticipated in these forward-looking statements as a result of certain factors, including those set forth in the following risk factors and elsewhere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INTEREST RATES; PREPAYMENT RISKS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earnings may be affected by changes in market interest rates. In conducting its Conduit Operations, the Company is subject to the risk of rising mortgage interest rates between the time the Company commits to purchase mortgage loans at a fixed price and the time the Company sells or securitizes those mortgage loans. An increase in interest rates will generally result in a decrease in market value of loans that the Company has committed to purchase at a fixed price, but has not yet sold or securitized.</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Higher rates of interest may discourage potential mortgagors from refinancing mortgage loans, borrowing to purchase a home or seeking a second mortgage loan, thus decreasing the volume of mortgage loans available to be purchased by the Conduit Operations. In addition, an increase in short-term interest rates may decrease or eliminate or, under certain circumstances, cause to be negative, the Company's net interest spread during the accumulation of mortgage loans held for sale or the net interest spread on mortgage loans held for investment when such loans are financed through reverse repurchase agreements. Should short-term interest rates exceed long-term interest rates (an "inverted yield curve" scenario), the negative effect on the Company's net interest spread would likely be coupled with a reduction in any earnings on any servicing portfolio held by the Company to the extent prepayments on the underlying mortgage loans increased as long-term interest rates declined.</w:t>
      </w:r>
    </w:p>
    <w:p>
      <w:pPr>
        <w:spacing w:after="0" w:line="20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conducting its Long-Term Investment Operations, a significant portion of the Company's mortgage assets held for long-term investment bear adjustable interest ("ARMs") or pass-through rates based on short-term interest rates, and substantially all of the Company's borrowings bear interest at fixed rates and have maturities of less than one year. Consequently, changes in short-term interest rates may significantly influence the Company's net interest income. Mortgage loans owned by the Company that are ARMs or mortgage-backed securities backed by ARMs are subject to periodic interest rate adjustments based on objective indices such as the CMT Index or LIBOR. Interest rates on the Company's borrowings are also based on short-term indices. To the extent any of the Company's mortgage assets are financed with borrowings bearing interest based on an index different from that used for the related mortgage assets, so-called "basis" interest rate risk will arise. In such event, if the index used for the subject mortgage assets is a "lagging" index (such as the 11th District Cost of Funds) that reflects market interest rate changes on a delayed basis, and the rate borne by the related borrowings reflects market rate changes more rapidly, the Company's net interest income will be adversely affected in periods of increasing market interest rates. Additionally, the Company's mortgage assets are subject to periodic interest rate adjustments that may be less frequent than the increases or decreases in rates borne by the borrowings or financings utilized by the Company. Accordingly, in a period of increasing interest rates, the Company could experience a decrease in net interest income or a net loss because the interest rates on borrowings could adjust faster than the interest rates on the Company's ARMs or mortgage-backed securities backed by ARMs. Moreover, ARMs are typically subject to periodic and lifetime interest rate caps, which limit the amount an ARMs interest rate can change during any given period. The Company's borrowings are not subject to similar restrictions. Hence, in a period of rapidly increasing interest rates, the Company could also experience a decrease in net interest income or a net loss in the absence of effective hedging because the interest rates on borrowings could increase without limitation by caps while the interest rates on the Company's ARMs and mortgage-backed securities backed by ARMs would be so limited. Further, some ARMs may be subject to periodic payment caps that result in some portion of the interest accruing on the ARMs being deferred and added to the principal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2" w:name="page13"/>
    <w:bookmarkEnd w:id="12"/>
    <w:p>
      <w:pPr>
        <w:ind w:right="1999"/>
        <w:spacing w:after="0" w:line="238" w:lineRule="auto"/>
        <w:rPr>
          <w:sz w:val="20"/>
          <w:szCs w:val="20"/>
          <w:color w:val="auto"/>
        </w:rPr>
      </w:pPr>
      <w:r>
        <w:rPr>
          <w:rFonts w:ascii="Courier New" w:cs="Courier New" w:eastAsia="Courier New" w:hAnsi="Courier New"/>
          <w:sz w:val="18"/>
          <w:szCs w:val="18"/>
          <w:color w:val="auto"/>
        </w:rPr>
        <w:t>outstanding. This could result in less cash received by the Company on its ARMs than is required to pay interest on the related borrowings, which will not have such payment caps. The Company expects that the net effect of these factors, all other factors being equal, will be to lower the Company's net interest income or cause a net loss during periods of rapidly rising interest rates, which could negatively impact the market price of the Common Stock. No assurance can be given as to the amount or timing of changes in income. To the extent that the Company utilizes short-term debt financing for fixed rate mortgages or mortgage-backed securities backed by fixed rate mortgages, the Company may also be subject to interest rate risks. To the extent that some of the warehouse loans made by the Company bear interest based upon an intermediate-term index while the Company's borrowings to fund such loans bear interest based upon a short-term index, the Company will be subject to the risk of narrowing interest rate spreads.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Higher rates of interest may have a negative effect, in particular, on the yield of any Company portfolio of "principal only" securities and other types of mortgage-backed securities purchased at a discount. If under such circumstances the Company were required to dispose of any "principal only" securities held in its portfolio, a loss could be incurred. Lower long-term rates of interest may negatively affect the yield on any Company portfolio of "interest only" securities, servicing fees receivable, master servicing fees receivable and other mortgage loan and mortgage-backed securities purchased at a premium. It is also possible that in certain low interest rate environments the Company would not fully recoup any initial investment in such securities or investments. See "--Risks of Potential Net Interest and Operating Losses in Connection with Borrowing and Substantial Leverage; Liquidity."</w:t>
      </w:r>
    </w:p>
    <w:p>
      <w:pPr>
        <w:spacing w:after="0" w:line="39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Mortgage prepayment rates vary from time to time and may cause changes in the amount of the Company's net interest income. Prepayments on ARMs and mortgage-backed securities backed by ARMs generally increase when mortgage interest rates fall below the then current interest rates on such ARMs. Conversely, prepayments of such mortgage loans generally decrease when mortgage interest rates exceed the then-current interest rate on such mortgage loans. Prepayment experience also may be affected by the geographic location of the property securing the mortgage loans, the credit grade of the mortgage loan, the assumability of the mortgage loans, the ability of the borrower to convert to a fixed-rate loan, conditions in the housing and financial markets and general economic conditions. In addition, prepayments on ARMs are affected by conditions in the fixed-rate mortgage market. If the interest rates on ARMs increase at a rate greater than the interest rates on fixed-rate mortgage loans, prepayments on ARMs will tend to increase. In periods of fluctuating interest rates, interest rates on ARMs may exceed interest rates on fixed-rate mortgage loans, which may tend to cause prepayments on ARMs to increase at a greater rate than anticipated. For the three months ended March 31, 1996 and the Interim Period, 63.4% and 31.9%, respectively, of the loans acquired by the Company were non-conforming "A" grade mortgage loans which may be subject to higher rates of prepayment than lesser credit grades of non-conforming loans. Second mortgage loans generally have smaller average principal balances than first mortgage loans and are not viewed by borrowers as permanent financing. Accordingly, second mortgage loans may experience a higher rate of prepayment than first mortgage loans. In addition, any future limitations on the right of borrowers to deduct interest payments on mortgage loans for Federal income tax purposes may result in a higher rate of prepayment mortgage loans. See "Business--Conduit Operations--Marketing and Production."</w:t>
      </w:r>
    </w:p>
    <w:p>
      <w:pPr>
        <w:spacing w:after="0" w:line="39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Prepayments of mortgage loans could affect the Company in several adverse ways. A substantial portion of the ARMs acquired by the Company (either directly as mortgage loans or through mortgage-backed securities backed by ARMs) have been newly originated within six months of purchase and generally bear initial interest rates which are lower than their "fully-indexed" rates (the applicable index plus the margin). In the event that such an ARM is prepaid prior to or soon after the time of adjustment to a fully-indexed rate, the Company will have experienced an adverse effect on its net interest income during the time it held such ARM compared with holding a fully-indexed ARM and will have lost the opportunity to receive interest at the fully indexed rate over the expected life of the ARM.</w:t>
      </w:r>
    </w:p>
    <w:p>
      <w:pPr>
        <w:spacing w:after="0" w:line="21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prepayment of any mortgage loan that had been purchased at a premium by the Company would result in the immediate write-off of any remaining capitalized premium amount and a consequent decrease in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Company's interest income. The Long-Term Investment Operations' strategy at the present time contemplates the purchase of certain mortgage loans on a "servicing released" basis (i.e., the Company will acquire both the mortgage loans and the rights to service them). This strategy requires payment of a higher purchase price by the Company for the mortgage loans, and to the extent a premium is paid, the Company is more exposed to the adverse effects of early prepayments of the mortgage loans, as described above.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HEDGING STRATEGIES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To mitigate risks associated with its Conduit Operations, the Company, through ICIFC, enters into transactions designed to hedge interest rate risks, which may include mandatory and optional forward selling of mortgage loans or mortgage-backed securities, interest rate caps, floors and swaps and buying and selling of futures and options on futures. To mitigate risks associated with its Long-Term Investment Operations, the Company's policy is to attempt to match the interest rate sensitivities of its adjustable rate mortgage assets held for investment with the associated liabilities. The Company may purchase interest rate caps, interest rate swaps or similar instruments to attempt to mitigate the cost of its variable rate liabilities increasing at a faster rate than the earnings on its subject assets during a period of rising interest rates. The nature and quantity of the hedging transactions for the Conduit Operations and the Long-Term Investment Operations is determined by the management of the Company based on various factors, including market conditions and the expected volume of mortgage loan purchases, and there have been no limitations placed on management's use of certain instruments in such hedging transactions. No assurance can be given that such hedging transactions will offset the risks of changes in interest rates, and it is possible that there will be periods during which the Company could incur losses after accounting for its hedging activities. See "Business--Hedging."</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OPERATIONS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makes long-term investments in mortgage loans and mortgage-backed securities. The Company does not obtain credit enhancements such as mortgage pool or special hazard insurance for its mortgage loans and investments other than (1) FHA insurance, (2) VA guarantees and (3) private mortgage insurance, in each case only when specified by its underwriting criteria. Accordingly, during the time it holds mortgage loans for investment, the Company is subject to risks of borrower defaults and bankruptcies and special hazard losses that are not covered by standard hazard insurance (such as those occurring from earthquakes or floods). In the event of a default on any mortgage loan held by the Company, the Company bears the risk of loss of principal to the extent of any deficiency between the value of the related mortgaged property, plus any payments from an insurer or guarantor, and the amount owing on the mortgage loan. Defaulted mortgage loans will also cease to be eligible collateral for borrowings, and will have to be financed by the Company out of other funds until ultimately liquidated.</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Credit risks associated with non-conforming mortgage loans, especially "B" and "C" grade loans, may be greater than those associated with conforming mortgage loans that comply with FNMA and FHLMC guidelines. Non-conforming mortgage loans generally consist of jumbo mortgage loans (loans with a principal balance in excess of $207,000) or loans that are originated in accordance with underwriting or product guidelines that differ from those applied by FNMA or FHLMC. The principal differences between conforming loans and the non-conforming loans purchased by the Company include the applicable loan-to-value ratios, the credit and income histories of the mortgagors, the documentation required for approval of the mortgagors, the types of properties securing the mortgage loans, loan sizes and the mortgagors' occupancy status with respect to the mortgaged property. As a result of these and other factors, the interest rates charged on non-conforming loans are often higher than those charged for conforming loans. The combination of different underwriting criteria and higher rates of interest may lead to higher delinquency rates and/or credit losses for non-conforming as compared to conforming loans and could have an adverse effect on the Company's operations to the extent that the Company invests in such loans or securities evidencing interests in such loans.</w:t>
      </w:r>
    </w:p>
    <w:p>
      <w:pPr>
        <w:spacing w:after="0" w:line="210" w:lineRule="exact"/>
        <w:rPr>
          <w:sz w:val="20"/>
          <w:szCs w:val="20"/>
          <w:color w:val="auto"/>
        </w:rPr>
      </w:pPr>
    </w:p>
    <w:p>
      <w:pPr>
        <w:jc w:val="both"/>
        <w:ind w:right="2199" w:firstLine="211"/>
        <w:spacing w:after="0" w:line="279" w:lineRule="auto"/>
        <w:rPr>
          <w:sz w:val="20"/>
          <w:szCs w:val="20"/>
          <w:color w:val="auto"/>
        </w:rPr>
      </w:pPr>
      <w:r>
        <w:rPr>
          <w:rFonts w:ascii="Courier New" w:cs="Courier New" w:eastAsia="Courier New" w:hAnsi="Courier New"/>
          <w:sz w:val="16"/>
          <w:szCs w:val="16"/>
          <w:color w:val="auto"/>
        </w:rPr>
        <w:t>In addition, with respect to second mortgage loans, the Company's security interest in the property securing such loans is subordinated to the interest of the first mortgage holder. If the value of the property securing the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362"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second mortgage loan is not sufficient to repay the borrower's obligation to the first mortgage holder upon foreclosure or if there is no additional value in such property after satisfying the borrower's obligation to the first mortgage loan holder, the borrower's obligation to the Company will likely not be satisfied.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also bears risk of loss on any mortgage-backed securities it purchases in the secondary mortgage market or otherwise. To the extent third parties have been contracted to insure against these types of losses, the Company would be dependent in part upon the creditworthiness and claims paying ability of the insurer and the timeliness of reimbursement in the event of a default on the underlying obligations. Further, the insurance coverage for various types of losses is limited in amount, and losses in excess of the limitation would be borne by the Company.</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yield derived from certain classes of mortgage-backed securities created in connection with securitizations by ICIFC and subsequently retained by the Company, including, but not limited to, "interest only," "principal only" and subordinated securities, is particularly sensitive to interest rate, prepayment and credit risks. The Company's investment portfolio may include each of these classes of securities, as well as investments in master servicing fees receivable, which have characteristics comparable to "interest only" securities insofar as their value tends to decline as prepayment rates increase. See "--Changes in Interest Rates; Prepayment Risks." Because subordinated securities, in general, bear all credit losses prior to the related senior securities, the amount of credit risk associated with any investment in such subordinated securities would be significantly greater than that which would be associated with a comparable investment in the related senior securities and, on a percentage basis, the risk would be greater than holding the underlying mortgage loans directly. See "Business--Long-Term Investment Operations--Investments in Mortgage-Backed Securities and Master Servicing Fees Receivable."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warehouse lender, the Company is a secured creditor of mortgage bankers and is subject to the risks associated with such businesses, including the risks of fraud, borrower default and bankruptcy, any of which could result in credit losses for the Company. Any claim of the Company as a secured lender in a bankruptcy proceeding may be subject to adjustment and delay. See "Business--Warehouse Lending Operations."</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connection with its Conduit Operations, ICIFC has engaged in securitizations and bulk whole loan sales. In connection with the issuance of mortgage-backed securities by ICIFC, such securities have been non-recourse to ICIFC, except in the case of a breach of the standard representations and warranties made by ICIFC when mortgage loans are securitized. While ICIFC has recourse to the sellers of mortgage loans for any such breaches, there can be no assurance of the sellers' abilities to honor their respective obligations. ICIFC has engaged in bulk whole loan sales pursuant to agreements that provide for recourse by the purchaser against ICIFC in the event of a breach of representation or warranty made by ICIFC, any fraud or misrepresentation during the mortgage loan origination process or upon early default on such mortgage loans. ICIFC has generally limited the remedies of such purchasers to the remedies ICIFC receives from the persons from whom ICIFC purchased such mortgage loans. However, in some cases, the remedies available to a purchaser of mortgage loans from ICIFC are broader than those available to ICIFC against its seller, and should a purchaser exercise its rights against ICIFC, ICIFC may not always be able to enforce whatever remedies ICIFC may have against its sellers. ICIFC may from time to time provide provisions for loan losses related to estimating losses from the breach of a standard representation and warranty. ICIFC recorded a provision for loan losses related to this estimate of $400,000 during the three months ended March 31, 1996. During the three months ended March 31, 1996, no losses occurred and no loans were repurchased by ICIFC. In 1995, 1994 and 1993, the impact of loans repurchased as a result of borrower misrepresentations was not material.</w:t>
      </w:r>
    </w:p>
    <w:p>
      <w:pPr>
        <w:spacing w:after="0" w:line="200" w:lineRule="exact"/>
        <w:rPr>
          <w:sz w:val="20"/>
          <w:szCs w:val="20"/>
          <w:color w:val="auto"/>
        </w:rPr>
      </w:pPr>
    </w:p>
    <w:p>
      <w:pPr>
        <w:spacing w:after="0" w:line="39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RISKS OF POTENTIAL NET INTEREST AND OPERATING LOSSES IN CONNECTION WITH BORROWINGS AND SUBSTANTIAL LEVERAGE; LIQUIDITY</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has employed a financing strategy to increase the size of its investment portfolio by borrowing a substantial portion (up to approximately 98%, depending on the nature of the underlying asset) of the market value of substantially all of its investments in mortgage loans and mortgage-backed securities.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362" w:gutter="0" w:footer="0" w:header="0"/>
        </w:sectPr>
      </w:pPr>
    </w:p>
    <w:bookmarkStart w:id="15" w:name="page16"/>
    <w:bookmarkEnd w:id="15"/>
    <w:p>
      <w:pPr>
        <w:ind w:right="1999"/>
        <w:spacing w:after="0" w:line="269" w:lineRule="auto"/>
        <w:rPr>
          <w:sz w:val="20"/>
          <w:szCs w:val="20"/>
          <w:color w:val="auto"/>
        </w:rPr>
      </w:pPr>
      <w:r>
        <w:rPr>
          <w:rFonts w:ascii="Courier New" w:cs="Courier New" w:eastAsia="Courier New" w:hAnsi="Courier New"/>
          <w:sz w:val="16"/>
          <w:szCs w:val="16"/>
          <w:color w:val="auto"/>
        </w:rPr>
        <w:t>Company initially intended maintaining a ratio of equity capital (book value of stockholders' equity) to total assets of approximately 15%. This target ratio was developed on the assumption that the Company would utilize the sale of pass-through mortgage-backed securities as the primary securitization technique, as compared to financing the Company's long-term investment in these loans through CMOs. However, the Company has elected to utilize CMO financings because CMOs allow the Company to more fully realize the benefits of IMH's REIT tax status. CMOs receive financing treatment as opposed to sale treatment. Financing treatment allows the Company to recognize spread income over time as REIT-qualified income, as compared to gains at ICIFC which receive sale treatment for pass-through securities and are fully taxable. The assets collateralizing CMO financings remain on the Company's balance sheet, while assets backing pass-through securities are removed from the balance sheet. Consequently, CMO financing tends to increase the assets of the Company and reduce the Company's ratio of equity capital to total assets, as compared to the sale of pass-through securities. It is expected that the continued use of CMOs will likely result in a ratio of equity capital to total assets of between 7% to 8%. The Company's ratio of equity capital to total assets at March 31, 1996 was 8.0% and the ratio at December 31, 1995 was 7.4%.</w:t>
      </w:r>
    </w:p>
    <w:p>
      <w:pPr>
        <w:spacing w:after="0" w:line="39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majority of the Company's borrowings are collateralized, primarily in the form of reverse repurchase agreements, which are based on the market value of the Company's mortgage loans pledged to secure the specific borrowings. The cost of borrowings under a reverse repurchase agreement corresponds to the referenced interest rate (e.g., the CMT Index or LIBOR) plus or minus a margin. The margin over or under the referenced interest rate varies depending upon the lender, the nature and liquidity of the underlying collateral, the movement of interest rates, the availability of financing in the market and other factors. If the returns on the mortgage loans and mortgage-backed securities purchased with borrowed funds fail to cover the cost of the borrowings, the Company will experience net interest losses and may experience net losses. See "Business--Long-Term Investment Operations."</w:t>
      </w:r>
    </w:p>
    <w:p>
      <w:pPr>
        <w:spacing w:after="0" w:line="39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use of CMOs as financing vehicles tends to increase the Company's leverage as such loans are held for investment rather than resold in secondary market transactions. For this reason the Company is exposed to greater potential credit losses from the use of CMOs as financing vehicles. In addition, the retention of residual interests in mortgage loans sold through secondary market transactions exposes ICIFC to a risk of credit loss up to the amount of ICIFC's investment in the residual interest. Should the Company experience credit losses greater than expected, the Company's financial condition and results of operations would be materially adversely affected.</w:t>
      </w:r>
    </w:p>
    <w:p>
      <w:pPr>
        <w:spacing w:after="0" w:line="18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ability of the Company to achieve its investment objectives depends not only on its ability to borrow money in sufficient amounts and on favorable terms but also on the Company's ability to renew or replace on a continuous basis its maturing short-term borrowings. The Company's business strategy relies on short-term borrowings to fund long-term mortgage loans. In the event the Company is not able to renew or replace maturing borrowings, the Company could be required to sell, under adverse market conditions, all or a portion of its mortgage loans and mortgage-backed securities available-for-sale, and could incur losses as a result. In addition, in such event the Company may be required to terminate hedge positions, which could result in further losses to the Company. Such events could have a materially adverse effect on the Company.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Certain of the Company's mortgage loans may be cross-collateralized to secure multiple borrowing obligations of the Company to a single lender. A decline in the market value of such assets could limit the Company's ability to borrow or result in lenders initiating margin calls (i.e., requiring a pledge of cash or additional mortgage loans to reestablish the ratio of the amount of the borrowing to the value of the collateral). The Company could be required to sell mortgage loans under adverse market conditions in order to maintain liquidity. If these sales were made at prices lower than the carrying value of its mortgage loans, the Company would experience losses. A default by the Company under its collateralized borrowings could also result in a liquidation of the collateral, including any cross-collateralized assets, and a resulting loss of the difference between the value of the collateral and the amount borrowed. Additionally, in the event of a bankruptcy of the Company, certain reverse repurchase agreements may qualify for special treatment under the Bankruptcy Code, the effect of which is, among other things, to allow the creditors under such agreements to avoid the automatic stay provisions of the Bankruptcy Code and to liquidate the collateral under such agreements without delay. Conversely, in the event of a bankruptcy of a party with whom the Company had a reverse repurchase agreement,</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70" w:lineRule="auto"/>
        <w:rPr>
          <w:sz w:val="20"/>
          <w:szCs w:val="20"/>
          <w:color w:val="auto"/>
        </w:rPr>
      </w:pPr>
      <w:r>
        <w:rPr>
          <w:rFonts w:ascii="Courier New" w:cs="Courier New" w:eastAsia="Courier New" w:hAnsi="Courier New"/>
          <w:sz w:val="16"/>
          <w:szCs w:val="16"/>
          <w:color w:val="auto"/>
        </w:rPr>
        <w:t>the Company might experience difficulty repurchasing the collateral under such agreement if it were to be repudiated and the Company's claim against the bankrupt lender for damages resulting therefrom were to be treated simply as one of an unsecured creditor. Should this occur, the Company's claims would be subject to significant delay and, if and when received, may be substantially less than the damages actually suffered by the Company. Although the Company has entered into reverse repurchase agreements with several different parties and has developed procedures to reduce its exposure to such risks, no assurance can be given that the Company will be able to avoid such third party risks. See "Business--Long-Term Investment Operations--Financing."</w:t>
      </w:r>
    </w:p>
    <w:p>
      <w:pPr>
        <w:spacing w:after="0" w:line="1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To the extent the Company is compelled to liquidate mortgage loans or mortgage-backed securities classified as Qualified REIT Assets to repay borrowings, IMH may be unable to comply with the REIT asset and income tests, possibly jeopardizing IMH's status as a REIT. The Code does not provide for any mitigating provisions with respect to the 30% gross income test. Accordingly, if IMH failed to meet the 30% gross income test, its status as a REIT would terminate automatically. See "Federal Income Tax Considerations-- Income Tests."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REIT provisions of the Code require the Company to distribute to its stockholders substantially all of its taxable income. As a result, such provisions restrict the Company's ability to retain earnings and replenish the capital committed to its business activities.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liquidity is also affected by its ability to access the debt and equity capital markets. To the extent that the Company is unable to regularly access such markets, the Company could be forced to sell assets at unfavorable prices or discontinue various business activities in order to meet its liquidity needs. As a result, any such inability to access the capital markets could have a negative impact on the Company's earnings.</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Substantially all of the assets of the Conduit Operations have been pledged to secure the repayment of mortgage-backed securities issued in the securitization process, reverse repurchase agreements or other borrowings. In addition, substantially all of the mortgage loans that the Company has acquired and will in the future acquire have been or will be pledged to secure borrowings pending their securitization or sale or as a part of their long-term financing. The cash flows received by the Company from its investments that have not yet been distributed, pledged or used to acquire mortgage loans or other investments may be the only unpledged assets available to unsecured creditors and stockholders in the event of liquidation of the Company.</w:t>
      </w:r>
    </w:p>
    <w:p>
      <w:pPr>
        <w:spacing w:after="0" w:line="18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DEMAND FOR RESIDENTIAL MORTGAGE LOANS AND THE COMPANY'S NON-CONFORMING LOAN PRODUCTS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availability of mortgage loans meeting the Company's criteria is dependent upon, among other things, the size and level of activity in the residential real estate lending market and, in particular, the demand for non-conforming mortgage loans. The size and level of activity in the residential real estate lending market depend on various factors, including the level of interest rates, regional and national economic conditions and inflation and deflation in residential property values, as well as the general regulatory and tax environment as it relates to mortgage lending. See "Business-- Regulation." To the extent the Company is unable to obtain sufficient mortgage loans meeting its criteria, the Company's business will be adversely affected.</w:t>
      </w:r>
    </w:p>
    <w:p>
      <w:pPr>
        <w:spacing w:after="0" w:line="1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FNMA and FHLMC are not currently permitted to purchase mortgage loans with original principal balances above $207,000. If this dollar limitation is increased without a commensurate increase in home prices, the Company's ability to maintain or increase its current acquisition levels could be adversely affected as the size of the non-conforming mortgage loan market may be reduced, and FNMA and FHLMC may be in a position to purchase a greater percentage of the mortgage loans in the secondary market than they currently acquire.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general, lower interest rates prompt greater demand for mortgage loans, because more individuals can afford to purchase residential properties, and refinancing and second mortgage loan transactions increase. However, if low interest rates are accompanied by a weak economy and high unemployment, demand for housing and residential mortgage loans may decline. Conversely, higher interest rates and lower levels of housing finance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564" w:gutter="0" w:footer="0" w:header="0"/>
        </w:sectPr>
      </w:pPr>
    </w:p>
    <w:bookmarkStart w:id="17" w:name="page18"/>
    <w:bookmarkEnd w:id="17"/>
    <w:p>
      <w:pPr>
        <w:ind w:right="2199"/>
        <w:spacing w:after="0" w:line="237" w:lineRule="auto"/>
        <w:rPr>
          <w:sz w:val="20"/>
          <w:szCs w:val="20"/>
          <w:color w:val="auto"/>
        </w:rPr>
      </w:pPr>
      <w:r>
        <w:rPr>
          <w:rFonts w:ascii="Courier New" w:cs="Courier New" w:eastAsia="Courier New" w:hAnsi="Courier New"/>
          <w:sz w:val="18"/>
          <w:szCs w:val="18"/>
          <w:color w:val="auto"/>
        </w:rPr>
        <w:t>and refinance activity may decrease mortgage loan purchase volume levels, resulting in decreased economies of scale and higher costs per unit, reduced fee income, smaller gains on the sale of non-conforming mortgage loans and lower net income.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Although the Company seeks geographic diversification of the properties underlying the Company's mortgage loans and mortgage-backed securities, it does not set specific limitations on the aggregate percentage of its portfolio composed of such properties located in any one area (whether by state, zip code or other geographic measure). Concentration in any one area will increase exposure of the Company's portfolio to the economic and natural hazard risks associated with such area. At March 31, 1996, 76.5% of IMH's mortgage loans held for investment were secured by properties in California. Certain parts of California have experienced an economic downturn in recent years, particularly in areas of high defense industry concentration, and have suffered the effects of certain natural hazards such as earthquakes, fires and floods, as well as riots.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HISTORY OF OPERATIONS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commenced operations on November 20, 1995. Prior to the date of the Contribution Transaction, ICIFC was a division or subsidiary of ICII and IWLG was a division of SPTL. Although the Company was profitable for the year ended December 31, 1995 and for the three months ended March 31, 1996, and has experienced substantial growth in mortgage loan originations and total revenues, there can be no assurance that the Company will be profitable in the future or that these rates of growth will be sustainable or indicative of future results. Prior to the Company's initial public offering (the "Initial Public Offering"), each of ICIFC and IWLG benefited from the financial, administrative and other resources of ICII and SPTL, respectively.</w:t>
      </w:r>
    </w:p>
    <w:p>
      <w:pPr>
        <w:spacing w:after="0" w:line="38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Since the Company commenced operations in November 1995, its growth in purchasing loans has been significant. In light of this growth, the historical financial performance of the Company may be of limited relevance in predicting future performance. Also, the loans purchased by the Company and included in the Company's securitizations have been outstanding for a relatively short period of time. Consequently, the delinquency and loss experience of the Company's loans to date may not be indicative of future results. It is unlikely that the Company will be able to maintain delinquency and loan loss ratios at their present levels as the portfolio becomes more seasoned.</w:t>
      </w:r>
    </w:p>
    <w:p>
      <w:pPr>
        <w:spacing w:after="0" w:line="18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 reduction in the number of loans available for purchase or a lack of demand for the Company's mortgage loan products could limit the Company's ability to fully invest the net proceeds of this Offering in mortgage loans and mortgage-backed securities in a timely manner after completion of this Offering. Should such an event occur, the Company will likely not be able to maintain the level of performance it has achieved since the Contribution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AND PLANNED EXPANSION; RELIANCE ON ICII'S ORIGINATION CAPABILITY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total revenues and net income have grown significantly since the Company's inception, primarily due to increased mortgage purchasing, sales and investing activities. The Company intends to continue to pursue a growth strategy for the foreseeable future, and its future operating results will depend largely upon its ability to expand its Long-Term Investment Operations, its Conduit Operations and its Warehouse Lending Operations. Each of these plans requires additional personnel and assets and there can be no assurance that the Company will be able to successfully expand and operate its expanded operations profitably. There can be no assurance that the Company will anticipate and respond effectively to all of the changing demands that its expanding operations will have on the Company's management, information and operating systems, and the failure to adapt its systems could have a material adverse effect on the Company's results of operations and financial condition. There can be no assurance that the Company will successfully achieve its planned expansion or, if achieved, that the expansion will result in profitable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ind w:left="220"/>
        <w:spacing w:after="0"/>
        <w:rPr>
          <w:sz w:val="20"/>
          <w:szCs w:val="20"/>
          <w:color w:val="auto"/>
        </w:rPr>
      </w:pPr>
      <w:r>
        <w:rPr>
          <w:rFonts w:ascii="Courier New" w:cs="Courier New" w:eastAsia="Courier New" w:hAnsi="Courier New"/>
          <w:sz w:val="18"/>
          <w:szCs w:val="18"/>
          <w:color w:val="auto"/>
        </w:rPr>
        <w:t>Substantially all of the Company's mortgage loan acquisitions since its</w:t>
      </w:r>
    </w:p>
    <w:p>
      <w:pPr>
        <w:spacing w:after="0" w:line="238" w:lineRule="auto"/>
        <w:rPr>
          <w:sz w:val="20"/>
          <w:szCs w:val="20"/>
          <w:color w:val="auto"/>
        </w:rPr>
      </w:pPr>
      <w:r>
        <w:rPr>
          <w:rFonts w:ascii="Courier New" w:cs="Courier New" w:eastAsia="Courier New" w:hAnsi="Courier New"/>
          <w:sz w:val="18"/>
          <w:szCs w:val="18"/>
          <w:color w:val="auto"/>
        </w:rPr>
        <w:t>inception have been from ICII or its affiliates. Of the $280.5 million and</w:t>
      </w:r>
    </w:p>
    <w:p>
      <w:pPr>
        <w:spacing w:after="0"/>
        <w:rPr>
          <w:sz w:val="20"/>
          <w:szCs w:val="20"/>
          <w:color w:val="auto"/>
        </w:rPr>
      </w:pPr>
      <w:r>
        <w:rPr>
          <w:rFonts w:ascii="Courier New" w:cs="Courier New" w:eastAsia="Courier New" w:hAnsi="Courier New"/>
          <w:sz w:val="18"/>
          <w:szCs w:val="18"/>
          <w:color w:val="auto"/>
        </w:rPr>
        <w:t>$1.1 billion of mortgage loans acquired by the Company for the three months</w:t>
      </w:r>
    </w:p>
    <w:p>
      <w:pPr>
        <w:spacing w:after="0" w:line="237" w:lineRule="auto"/>
        <w:rPr>
          <w:sz w:val="20"/>
          <w:szCs w:val="20"/>
          <w:color w:val="auto"/>
        </w:rPr>
      </w:pPr>
      <w:r>
        <w:rPr>
          <w:rFonts w:ascii="Courier New" w:cs="Courier New" w:eastAsia="Courier New" w:hAnsi="Courier New"/>
          <w:sz w:val="18"/>
          <w:szCs w:val="18"/>
          <w:color w:val="auto"/>
        </w:rPr>
        <w:t>ended March 31, 1996 and the year ended December 31, 1995, respectively,</w:t>
      </w:r>
    </w:p>
    <w:p>
      <w:pPr>
        <w:spacing w:after="0" w:line="238" w:lineRule="auto"/>
        <w:rPr>
          <w:sz w:val="20"/>
          <w:szCs w:val="20"/>
          <w:color w:val="auto"/>
        </w:rPr>
      </w:pPr>
      <w:r>
        <w:rPr>
          <w:rFonts w:ascii="Courier New" w:cs="Courier New" w:eastAsia="Courier New" w:hAnsi="Courier New"/>
          <w:sz w:val="18"/>
          <w:szCs w:val="18"/>
          <w:color w:val="auto"/>
        </w:rPr>
        <w:t>$164.3 million and $501.4 million, respectively, were purchased from ICII or</w:t>
      </w:r>
    </w:p>
    <w:p>
      <w:pPr>
        <w:spacing w:after="0"/>
        <w:rPr>
          <w:sz w:val="20"/>
          <w:szCs w:val="20"/>
          <w:color w:val="auto"/>
        </w:rPr>
      </w:pPr>
      <w:r>
        <w:rPr>
          <w:rFonts w:ascii="Courier New" w:cs="Courier New" w:eastAsia="Courier New" w:hAnsi="Courier New"/>
          <w:sz w:val="18"/>
          <w:szCs w:val="18"/>
          <w:color w:val="auto"/>
        </w:rPr>
        <w:t>its affiliates. Mortgage loan acquisitions from ICII for the three months</w:t>
      </w:r>
    </w:p>
    <w:p>
      <w:pPr>
        <w:spacing w:after="0" w:line="237" w:lineRule="auto"/>
        <w:rPr>
          <w:sz w:val="20"/>
          <w:szCs w:val="20"/>
          <w:color w:val="auto"/>
        </w:rPr>
      </w:pPr>
      <w:r>
        <w:rPr>
          <w:rFonts w:ascii="Courier New" w:cs="Courier New" w:eastAsia="Courier New" w:hAnsi="Courier New"/>
          <w:sz w:val="18"/>
          <w:szCs w:val="18"/>
          <w:color w:val="auto"/>
        </w:rPr>
        <w:t>ended March 31, 1996 consisted of acquisitions of mortgage loans from</w:t>
      </w:r>
    </w:p>
    <w:p>
      <w:pPr>
        <w:spacing w:after="0"/>
        <w:rPr>
          <w:sz w:val="20"/>
          <w:szCs w:val="20"/>
          <w:color w:val="auto"/>
        </w:rPr>
      </w:pPr>
      <w:r>
        <w:rPr>
          <w:rFonts w:ascii="Courier New" w:cs="Courier New" w:eastAsia="Courier New" w:hAnsi="Courier New"/>
          <w:sz w:val="18"/>
          <w:szCs w:val="18"/>
          <w:color w:val="auto"/>
        </w:rPr>
        <w:t>correspondents associated with ICII. ICII has announced that it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divesting itself of its mortgage loan business except for those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activities referred to in the Non-Compete Agreement as described in "Certain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As a result, the Company expects that the level of originations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ICII should substantially decrease over time. Unless and until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is able to acquire mortgage loans from other sources, the Company's</w:t>
      </w:r>
    </w:p>
    <w:p>
      <w:pPr>
        <w:spacing w:after="0" w:line="238" w:lineRule="auto"/>
        <w:rPr>
          <w:sz w:val="20"/>
          <w:szCs w:val="20"/>
          <w:color w:val="auto"/>
        </w:rPr>
      </w:pPr>
      <w:r>
        <w:rPr>
          <w:rFonts w:ascii="Courier New" w:cs="Courier New" w:eastAsia="Courier New" w:hAnsi="Courier New"/>
          <w:sz w:val="18"/>
          <w:szCs w:val="18"/>
          <w:color w:val="auto"/>
        </w:rPr>
        <w:t>operations may be materially adversely affected.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FOR MORTGAGE LOANS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purchasing non-conforming mortgage loans and issuing securities backed by such loans, the Company competes with established mortgage conduit programs, investment banking firms, savings and loan associations, banks, thrift and loan associations, finance companies, mortgage bankers, insurance companies, other lenders and other entities purchasing mortgage assets. Continued consolidation in the mortgage banking industry may also reduce the number of current sellers to the Conduit Operations, thus reducing the Company's potential customer base, resulting in the Company purchasing a larger percentage of mortgage loans from a smaller number of sellers. Such changes could negatively impact the Conduit Operations. See "--Demand for Residential Mortgage Loans and the Company's Non-Conforming Loan Products," "Business-- Competition" and "Business Conduit Operations--Marketing and Production-- Mortgage Loans Acquired." Mortgage-backed securities issued through the Conduit Operations face competition from other investment opportunities available to prospective investors.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faces competition in its Conduit Operations and Warehouse Lending Operations from other financial institutions, including but not limited to banks and investment banks. Many of the institutions with which the Company competes in these operations have significantly greater financial resources than the Company. Increased competition in the Conduit Operations and Warehouse Lending Operations could adversely affect the Company's profitability. See "Business--Competition."</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operations may be affected by the activities of ICII and its affiliates. As an end-investor in non-conforming mortgage loans, SPTL may compete with the Company; this activity is not restricted by an agreement not to compete executed by and among the Company, SPTL and ICII in connection with the Contribution Transaction (the "Non-Compete Agreement"). Also, Southern Pacific Funding Corporation is a subsidiary of ICII whose business is primarily to act as a wholesale originator and a bulk purchaser of non-conforming mortgage loans. These activities are not restricted by the Non-Compete Agreement. In addition, after the expiration of the Non-Compete Agreement, ICII or any 25% entity may compete with the Company's Long-Term Investment Operations, the Conduit Operations and the Warehouse Lending Operations. While the Company believes such activities will not have a material adverse effect on the Company's operations, there can be no assurance of this. See "--Relationship with ICII and its Affiliates; Conflicts of Interest" and "Business--Competition."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EXPERIENCE OF THE MANAGER IN MANAGING A REIT</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The Company is dependent for the selection, structuring and monitoring of its assets and associated borrowings on the diligence and skill of its officers and the officers and employees of the Manager which has limited experience in managing a REIT. See "Imperial Credit Advisors, Inc." for further descriptions of the business experience of key management personnel.</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RELATIONSHIP WITH ICII AND ITS AFFILIATES; CONFLICTS OF INTEREST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is subject to conflicts of interest arising from its relationship with its manager, ICAI, and ICAI's affiliates. ICAI, through its affiliation with ICII, has interests that may conflict with those of the Company in fulfilling certain of its duties. In addition, certain of the officers and Directors of ICII or its affiliates are also officers and Directors of the Company, including H. Wayne Snavely and Joseph R. Tomkinson, Chairman of the Board and Chief Executive Officer of IMH, respectively. See "Imperial Credit Mortgage Holdings, Inc. Directors and Executive Officers" and "Imperial Credit Advisors, Inc.--Directors and Executive Officers." The Company also relies upon ICAI (which has entered into a subcontract with ICII to provide certain management services to the Company as ICAI deems necessary) for the oversight of day-to-day operations of its business. All other operations of the Company are conducted through ICIFC and IWLG, which had approximately 60 and three employees, respectively, as of March 31, 1996. No assurance can be given that the Company's relationships with ICAI and its affiliates will continue indefinitely. The failure or inability of ICAI to provide the services required of it under the Management Agreement (or of ICII to perform its obligations under its subcontract with ICAI) or any other agreements or arrangements with the Company would have a material adverse effect on the Company's business. In addition, as the holder of all of the outstanding voting stock of ICIFC, ICII has the right to elect all directors of ICIFC and the ability to control the outcome of all matters for which the consent of the holders of the common stock of ICIFC is required.</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intends to provide up to a $100 million warehouse facility to FMAC on terms to be negotiated in an arms-length transaction. ICII owns 67% of FMAC. See "Business--Warehouse Lending Operations--FMAC."</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is the intention of the Company and ICII that any agreements and transactions, taken as a whole, between the Company, on the one hand, and ICII or its affiliates, on the other hand, are fair to both parties. To minimize or avoid potential conflicts of interests, all three Unaffiliated Directors must independently and by majority vote approve all such agreements and transactions. However, there can be no assurance that each of such agreements or transactions will be on terms at least as favorable to the Company as could have been obtained from unaffiliated third parties. See "Imperial Credit Mortgage Holdings, Inc.," "Imperial Credit Advisors, Inc.," "Relationships with Affiliates" and "Certain Transactions."</w:t>
      </w:r>
    </w:p>
    <w:p>
      <w:pPr>
        <w:spacing w:after="0" w:line="215"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Pursuant to the Non-Compete Agreement, except as set forth below, ICII and any 25% entity may not compete with the Warehouse Lending Operations and may not establish a network of third party correspondent loan originators or another end-investor in non-conforming mortgage loans. ICII has also agreed</w:t>
      </w:r>
    </w:p>
    <w:p>
      <w:pPr>
        <w:spacing w:after="0" w:line="1" w:lineRule="exact"/>
        <w:rPr>
          <w:sz w:val="20"/>
          <w:szCs w:val="20"/>
          <w:color w:val="auto"/>
        </w:rPr>
      </w:pPr>
    </w:p>
    <w:p>
      <w:pPr>
        <w:ind w:right="1999" w:firstLine="8"/>
        <w:spacing w:after="0" w:line="238"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addition to any other remedy that may be available to the Company, it will sell, at a price determined by an independent appraisal, all of the outstanding shares of common stock of ICIFC to be retained by ICII pursuant to the Contribution Transaction to any third party reasonably acceptable to the Company in the event that ICII or any 25% entity establishes a network of third party correspondent loan originators or other end-investors in non-conforming loans during the term of the Non-Compete Agreement and (2) that any sale by ICIFC of shares of its capital stock or any sale or transfer by ICII of any shares of the common stock of ICIFC which ICII owns may only be made to a party reasonably acceptable to the Company. Pursuant to the Non-Compete Agreement, SPTL may continue to act as an end-investor in non-conforming mortgage loans and Southern Pacific Funding Corporation, a subsidiary of ICII, may continue its business, which is primarily to act as a wholesale originator and bulk purchaser of non-conforming mortgage loans. Pursuant to a right of first refusal agreement executed by and between the Company and ICIII in connection with the Contribution Transaction (the "Right of First Refusal Agreement"), ICII has granted ICIFC a right of first refusal to purchase all non-conforming mortgage loans that ICII or any 25% entity originates or acquires and subsequently offers for sale and ICIFC has granted ICII or any 25% entity designated by ICII a right of first refusal to purchase all conforming mortgage loans that ICIFC acquires and subsequently offers for sale.</w:t>
      </w: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CONSEQUENCES OF FAILURE TO MAINTAIN REIT STATUS; COMPANY SUBJECT TO TAX AS A REGULAR CORPORATION</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IMH currently operates and has operated in a manner intended to allow it to qualify as a REIT under the Internal Revenue Code of 1986, as amended (the "Code"). Although IMH believes that it will continue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59" w:gutter="0" w:footer="0" w:header="0"/>
        </w:sectPr>
      </w:pPr>
    </w:p>
    <w:bookmarkStart w:id="20" w:name="page21"/>
    <w:bookmarkEnd w:id="20"/>
    <w:p>
      <w:pPr>
        <w:ind w:right="1999"/>
        <w:spacing w:after="0" w:line="270" w:lineRule="auto"/>
        <w:rPr>
          <w:sz w:val="20"/>
          <w:szCs w:val="20"/>
          <w:color w:val="auto"/>
        </w:rPr>
      </w:pPr>
      <w:r>
        <w:rPr>
          <w:rFonts w:ascii="Courier New" w:cs="Courier New" w:eastAsia="Courier New" w:hAnsi="Courier New"/>
          <w:sz w:val="16"/>
          <w:szCs w:val="16"/>
          <w:color w:val="auto"/>
        </w:rPr>
        <w:t>operate in such a manner, no assurance can be given that IMH will remain qualified as a REIT. Qualification as a REIT involves the satisfaction of numerous requirements (some on an annual and others on a quarterly basis) established under highly technical and complex Code provisions for which there are only limited judicial and administrative interpretations, and involve the determination of various factual matters and circumstances not entirely within the Company's control. For example, in order to qualify as a REIT, at least 95% of IMH's gross income (including the gross income of IWLG) in any year must be derived from qualifying sources and IMH must pay distributions to stockholders aggregating annually at least 95% of its (and IWLG's) taxable income (calculated without regard to the dividends paid deduction and excluding net capital gains). No assurance can be given that legislation, new regulations, administrative interpretations or court decisions will not significantly change the tax laws with respect to qualification as a REIT.</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Among the requirements for REIT qualification is that the value of any one issuer's securities held by a REIT may not exceed 5% of the REIT's total assets on certain testing dates. See "Federal Income Tax Considerations-- Taxation of IMH-Requirements for Qualification." IMH believes that the aggregate value of the securities of ICIFC held by IMH are less than 5% of the value of IMH's total assets.</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IMH were to fail to qualify as a REIT in any taxable year, IMH would be subject to federal income tax (including any applicable alternative minimum tax) on its taxable income at regular corporate rates and would not be allowed a deduction in computing its taxable income for amounts distributed to its stockholders. Moreover, unless entitled to relief under certain statutory provisions, IMH also would be disqualified from treatment as a REIT for the four taxable years following the year during which qualification is lost. This treatment would reduce the net earnings of IMH available for investment or distribution to stockholders because of the additional tax liability to IMH for the years involved. In addition, distributions to stockholders would no longer be required to be made. See "Federal Income Tax Considerations-- Taxation of IMH--Requirements for Qualification."</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COMPANY ACT RISK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at all times intends to conduct its business so as not to become regulated as an investment company under the Investment Company Act. Accordingly, the Company does not expect to be subject to the restrictive provisions of the Investment Company Act. The Investment Company Act exempts entities that are "primarily engaged in the business of purchasing or otherwise acquiring mortgages and other liens on and interests in real estate" ("Qualifying Interests"). Under the current interpretation of the staff of the Commission, in order to qualify for this exemption, the Company must maintain at least 55% of its assets directly in mortgage loans, qualifying pass-through certificates and certain other Qualifying Interests in real estate. In addition, unless certain mortgage securities represent all the certificates issued with respect to an underlying pool of mortgages, such mortgage securities may be treated as securities separate from the underlying mortgage loans and, thus, may not qualify as Qualifying Interests for purposes of the 55% requirement. The Company's ownership of certain mortgage loans therefore may be limited by the provisions of the Investment Company Act. In addition, in meeting the 55% requirement under the Investment Company Act, the Company intends to consider privately issued certificates issued with respect to an underlying pool as to which the Company holds all issued certificates as Qualifying Interests. If the Commission, or its staff, adopts a contrary interpretation with respect to such securities, the Company could be required to restructure its activities to the extent its holdings of such privately issued certificates did not comply with the interpretation. Such a restructuring could require the sale of a substantial amount of privately issued certificates held by the Company at a time it would not otherwise do so. Further, in order to insure that the Company at all times continues to qualify for the above exemption from the Investment Company Act, the Company may be required at times to adopt less efficient methods of financing certain of its mortgage loans and investments in mortgage-backed securities than would otherwise be the case and may be precluded from acquiring certain types of such mortgage assets whose yield is somewhat higher than the yield on assets that could be purchased in a manner consistent with the exemption. The net effect of these factors will be to lower at times the Company's net interest income, although the Company does not expect the effect to be material. If the Company fails to qualify for exemption from registration as an investment company, its ability to use leverage would be substantially reduced, and it would be unable to conduct its business as described herein. Any such failure to qualify for such exemption could have a material adverse effect on the Company.</w:t>
      </w: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0" w:gutter="0" w:footer="0" w:header="0"/>
        </w:sectPr>
      </w:pPr>
    </w:p>
    <w:bookmarkStart w:id="21" w:name="page22"/>
    <w:bookmarkEnd w:id="21"/>
    <w:p>
      <w:pPr>
        <w:ind w:right="2099"/>
        <w:spacing w:after="0" w:line="235" w:lineRule="auto"/>
        <w:rPr>
          <w:sz w:val="20"/>
          <w:szCs w:val="20"/>
          <w:color w:val="auto"/>
        </w:rPr>
      </w:pPr>
      <w:r>
        <w:rPr>
          <w:rFonts w:ascii="Courier New" w:cs="Courier New" w:eastAsia="Courier New" w:hAnsi="Courier New"/>
          <w:sz w:val="18"/>
          <w:szCs w:val="18"/>
          <w:color w:val="auto"/>
        </w:rPr>
        <w:t>FUTURE REVISIONS IN POLICIES AND STRATEGIES AT THE DISCRETION OF THE BOARD OF DIRECTORS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including a majority of the Unaffiliated Directors, has established the investment policies and operating policies and strategies set forth in this Prospectus as the investment policies and operating policies and strategies of the Company. With respect to other matters, the Company may, in the future, but currently has no present plans to, invest in the securities of other REITs for the purpose of exercising control, offer securities in exchange for property or offer to repurchase or otherwise reacquire its shares or other securities. The Company does not currently intend to underwrite the securities of other issuers. However, any of the policies, strategies and activities referenced above or described in this Prospectus may be modified or waived by the Board of Directors, subject in certain cases to approval by a majority of the Unaffiliated Directors, without stockholder consent.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FUTURE OFFERINGS ON MARKET PRICE OF COMMON STOCK</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in the future may increase its capital resources by making additional private or public offerings of its Common Stock, securities convertible into its Common Stock, preferred stock or debt securities. The actual or perceived effect of such offerings, the timing of which cannot be predicted, may be the dilution of the book value or earnings per share of the Common Stock outstanding, which may result in the reduction of the market price of the Common Stock. The Company has adopted the DRP pursuant to which shares are issuable at the DRP Price, which is 97% of the current market price, thereby resulting in dilution to the extent such shares are issued by the Company.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ELIGIBLE FOR FUTURE SALE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Sale of substantial amounts of the Company's Common Stock in the public market or the prospect of such sales could materially and adversely affect the market price of the Common Stock. Of the 6,750,000 shares of Common Stock to be outstanding after the Offering, 500,000 shares are restricted in nature and are not saleable pursuant to Rule 144 or otherwise until November 1997 at the earliest. The Company, ICII, SPTL and certain stockholders have agreed with the Underwriters that, for a period of 120 days following the commencement of this Offering, they will not sell, contract to sell or otherwise dispose of any of such 500,000 shares or rights to acquire any shares of Common Stock (other than pursuant to employee plans or the DRP) without the prior written consent of PaineWebber Incorporated. See "Shares Eligible for Future Sale" and "Underwriting." Additionally, there are outstanding stock options for</w:t>
      </w:r>
    </w:p>
    <w:p>
      <w:pPr>
        <w:spacing w:after="0" w:line="18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250,000 shares of Common Stock, which have been granted at a per share exercise price of $11.25 per share, to executive officers and Directors of the Company or of the Manager, none of which, except in the event of a change of control of the Company, are exercisable until November 1998; stock options for an additional 45,000 shares of Common Stock have been granted to Unaffiliated Directors of the Company at a per share exercise price of $13.00, none of which, except in the event of a change of control of the Company, are exercisable until November 1996; and an additional 105,000 shares of Common Stock are reserved for future issuance pursuant to the Company's Stock Option Plan. The Company intends to register under the Securities Act shares reserved for issuance pursuant to the DRP and the Stock Option Plan. See "Dividend Reinvestment Plan" and "Imperial Credit Mortgage Holdings, Inc.--Stock Options."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RESTRICTIONS ON OWNERSHIP OF COMMON STOCK; ANTI-TAKEOVER RISK</w:t>
      </w:r>
    </w:p>
    <w:p>
      <w:pPr>
        <w:spacing w:after="0" w:line="22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Articles of Incorporation and the amendments thereto ( the "Charter") authorizes the Board of Directors to issue shares of Preferred Stock designated in one or more classes or series. The Preferred Stock may be issued from time to time with such designations, any rights and preferences as shall be determined by the Board of Directors. Preferred Stock would be available for possible future financing of, or acquisitions by, the Company and for general corporate purposes without any legal requirement that further stockholder authorization for issuance be obtained. The issuance of Preferred Stock could have the effect of making an attempt to gain control of the Company more difficult by means of a merger, tender offer, proxy contest or otherwise. The Preferred Stock, if issued, may have a preference on dividend payments which could affect the ability of the Company to make dividend distributions to the common stockholders. As of the date hereof, no shares of Preferred Stock have been issued. Certain provisions of the Charter may also have the effect of delaying, deferring or preventing a change in control of the Company. See "Certain Provisions of Maryland Law and of the Company's Charter and Bylaws" and "Description of Capital Stock."</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0" w:gutter="0" w:footer="0" w:header="0"/>
        </w:sectPr>
      </w:pPr>
    </w:p>
    <w:bookmarkStart w:id="22" w:name="page23"/>
    <w:bookmarkEnd w:id="22"/>
    <w:p>
      <w:pPr>
        <w:ind w:right="1999" w:firstLine="211"/>
        <w:spacing w:after="0" w:line="268" w:lineRule="auto"/>
        <w:rPr>
          <w:sz w:val="20"/>
          <w:szCs w:val="20"/>
          <w:color w:val="auto"/>
        </w:rPr>
      </w:pPr>
      <w:r>
        <w:rPr>
          <w:rFonts w:ascii="Courier New" w:cs="Courier New" w:eastAsia="Courier New" w:hAnsi="Courier New"/>
          <w:sz w:val="16"/>
          <w:szCs w:val="16"/>
          <w:color w:val="auto"/>
        </w:rPr>
        <w:t>In order for IMH to maintain its qualification as a REIT, not more than 50% in value of the outstanding shares of IMH's capital stock, including the Common Stock, may be owned, actually or constructively, by or for five or fewer individuals (as defined in the Code to include certain entities) during the last half of a taxable year (other than the first year). Furthermore, after the first taxable year for which a REIT election is made, IMH's shares of capital stock, including the Common Stock, must be held by a minimum of 100 persons for at least 335 days of a 12-month (or a proportionate part of a short tax year). In order to protect IMH against the risk of losing REIT status due to a concentration of ownership among its stockholders, the Charter prohibits any person, other than ICII as to the 374,538 shares which it owns (which excludes the 50,000 shares of Common Stock held by SPTL pursuant to the Contribution Transaction, as to which ICII disclaims beneficial ownership), from acquiring or holding, actively or constructively, shares of Common Stock in excess of 9.5%, (in value or in number of shares, whichever is more restrictive), of the aggregate of the outstanding shares of Common Stock (the "Ownership Limit"). For this purpose, the term "ownership" is defined in accordance with the REIT provisions of the Code, the constructive ownership provisions of Section 544 of the Code, as modified by Section 856(h)(1)(B) of the Code, and Rule 13d-3 promulgated by the Commission under the Exchange Act and the term "person" is defined to include a "group," which is defined to have the same meaning as that term has for purposes of Section 13(d)(3) of the Exchange Act. Accordingly, shares of Common Stock owned or deemed to be owned by a person who individually owns less than 9.5% of the shares outstanding may nevertheless be in violation of the ownership limitations set forth in the Charter. The Charter further prohibits (1) any person from beneficially or constructively owning shares of Common Stock that would result in the Company being "closely held" under Section 856(h) of the Code or otherwise cause the Company to fail to qualify as a REIT, and (2) any person from transferring shares of Common Stock if such transfer would result in shares of Common Stock being owned by fewer than 100 persons. If any transfer of shares of Common Stock occurs which, if effective, would result in any person beneficially or constructively owning shares of Common Stock in excess or in violation of the above transfer or ownership limitations, then that number of shares of Common Stock the beneficial or constructive ownership of which otherwise would cause such person to violate such limitations (rounded to the nearest whole shares) shall be automatically transferred to a trustee (the "Trustee") as trustee of a trust (the "Trust") for the exclusive benefit of one or more charitable beneficiaries (the "Charitable Beneficiary"), and the intended transferee shall not acquire any rights in such shares. Shares held by the Trustee shall be issued and outstanding shares of Common Stock. The intended transferee shall not benefit economically from ownership of any shares held in the Trust, shall have no rights to dividends and shall not possess any rights to vote or other rights attributable to the shares held in the Trust. The Trustee shall have all voting rights and rights to dividends or other distributions with respect to shares held in the Trust, which rights shall be exercised for the exclusive benefit of the Charitable Beneficiary. Any dividend or other distribution paid prior to the discovery by the Company that shares of Common Stock have been transferred to the Trustee shall be paid with respect to such shares to the Trustee upon demand and any dividend or other distribution authorized but unpaid shall be paid when due to the Trustee. Any dividends or distributions so paid over to the Trustee shall be held in trust for the Charitable Beneficiary. The Board of Directors of the Company may, in their discretion, waive these requirements on owning shares in excess of the Ownership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Within 20 days of receiving notice from the Company that shares of Common Stock have been transferred to the Trust, the Trustee shall sell the shares held in the Trust to a person, designated by the Trustee, whose ownership of the shares will not violate the ownership limitations set forth in the Charter. Upon such sale, the interest of the Charitable Beneficiary in the shares sold shall terminate and the Trustee shall distribute the net proceeds of the sale to the intended transferee and to the Charitable Beneficiary as follows. The intended transferee shall receive the lesser of (1) the price paid by the intended transferee for the shares or, if the intended transferee did not give value for the shares in connection with the event causing the shares to be held in the Trust (e.g., in the case of a gift, devise or other such transaction), the Market Price (as defined below) of the shares on the day of the event causing the shares to be held in the Trust and (2) the price per share received by the Trustee from the sale or other disposition of the shares held in the Trust. Any net sale proceeds in excess of the amount payable to the intended transferee shall be immediately paid to the Charitable Beneficiary. In addition, shares of Common Stock transferred to the Trustee shall be deemed to have been offered for sale to the Company, or its designee, at a price per share equal to the lesser of (1) the price per share in the transaction that resulted in such transfer to the Trust (or in the case of a devise or gift, the Market Price at the time of such devise or gift) and (2) the Market Price on the date the Company, or its designee, accepts such offer.</w:t>
      </w:r>
    </w:p>
    <w:p>
      <w:pPr>
        <w:sectPr>
          <w:pgSz w:w="11900" w:h="16838" w:orient="portrait"/>
          <w:cols w:equalWidth="0" w:num="1">
            <w:col w:w="10219"/>
          </w:cols>
          <w:pgMar w:left="240" w:top="72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The</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6" w:right="1440" w:bottom="1440" w:gutter="0" w:footer="0" w:header="0"/>
        </w:sectPr>
      </w:pPr>
    </w:p>
    <w:bookmarkStart w:id="24" w:name="page25"/>
    <w:bookmarkEnd w:id="24"/>
    <w:p>
      <w:pPr>
        <w:ind w:right="1999"/>
        <w:spacing w:after="0" w:line="275" w:lineRule="auto"/>
        <w:rPr>
          <w:sz w:val="20"/>
          <w:szCs w:val="20"/>
          <w:color w:val="auto"/>
        </w:rPr>
      </w:pPr>
      <w:r>
        <w:rPr>
          <w:rFonts w:ascii="Courier New" w:cs="Courier New" w:eastAsia="Courier New" w:hAnsi="Courier New"/>
          <w:sz w:val="16"/>
          <w:szCs w:val="16"/>
          <w:color w:val="auto"/>
        </w:rPr>
        <w:t>Company shall have the right to accept such offer until the Trustee has sold the shares held in the Trust. Upon such a sale to the Company, the interest of the Charitable Beneficiary in the shares sold shall terminate and the Trustee shall distribute the net proceeds of the sale to the intended transferee.</w:t>
      </w:r>
    </w:p>
    <w:p>
      <w:pPr>
        <w:spacing w:after="0" w:line="18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term "Market Price" on any date shall mean, with respect to any class or series of outstanding shares of the Company's stock, the Closing Price (as defined below) for such shares on such date. The "Closing Price" on any date shall mean the last sale price for such shares, regular way, or, in case no such sale takes place on such day, the average of the closing bid and asked prices, regular way, for such shares, in either case as reported in the principal consolidated transaction reporting system with respect to securities listed or admitted to trading on the NYSE or, if such shares are not listed or admitted to trading on the NYSE, as reported on the principal consolidated transaction reporting system with respect to securities listed on the principal national securities exchange on which such shares are listed or admitted to trading or, if such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shares are not quoted by any such organization, the average of the closing bid and asked prices as furnished by a professional market maker making a market in such shares selected by the Board of Directors or, in the event that no trading price is available for such shares, the fair market value of the shares, as determined in good faith by the Board of Directors.</w:t>
      </w: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Every owner of more than 5% (or such lower percentage as required by the Code or the regulations promulgated thereunder) of all classes or series of IMH's stock, including shares of Common Stock, within 30 days after the end of each taxable year, is required to give written notice to the Company stating the name and address of such owner, the number of shares of each class and series of stock of IMH beneficially owned and a description of the manner in which such shares are held. Each such owner shall provide to the Company such additional information as the Company may request in order to determine the effect, if any, of such beneficial ownership on IMH's status as a REIT and to ensure compliance with the Ownership Limit.</w:t>
      </w:r>
    </w:p>
    <w:p>
      <w:pPr>
        <w:spacing w:after="0" w:line="215"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Subject to certain limitations, the Board of Directors may increase or decrease the Ownership Limit.</w:t>
      </w:r>
    </w:p>
    <w:p>
      <w:pPr>
        <w:spacing w:after="0" w:line="208"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These provisions may inhibit market activity and the resulting opportunity for the Company's stockholders to receive a premium for their shares that might otherwise exist if any person were to attempt to assemble a block of shares of the Company's Common Stock in excess of the number of shares permitted under the Charter. Such provisions also may make the Company an unsuitable investment vehicle for any person seeking to obtain ownership of more than 9.5% of the outstanding shares of Common Stock.</w:t>
      </w:r>
    </w:p>
    <w:p>
      <w:pPr>
        <w:spacing w:after="0" w:line="188"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In addition, certain provisions of the Maryland General Corporation Law ("MGCL") and of the Company's Charter and Bylaws may also have the effect of delaying, deterring or preventing a change in control of the Company. See "Certain Provisions of Maryland Law and of the Company's Charter and Bylaws."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was incorporated in the State of Maryland on August 28, 1995. The Company operates in a manner that permits IMH to elect to be taxed as a REIT for federal income tax purposes. The Company generates income for distribution to its stockholders primarily from the net interest income derived from its investments classified as Qualified REIT Assets and from its Conduit Operations and Warehouse Lending Operations. As a result of its REIT status, IMH is permitted to deduct dividend distributions to stockholders in calculating its taxable income, thereby effectively eliminating the "double taxation" that generally results when a corporation earns income and distributes that income to stockholders in the form of dividends. IMH and any Qualified REIT Subsidiary, including IWLG, generally are not subject to federal income tax to the extent that certain REIT qualifications are met. ICIFC is not consolidated with IMH for accounting purposes because IMH does not own any of ICIFC's voting common stock and IMH does not control ICIFC. All taxable income of ICIFC is subject to federal and state income taxes, where applicable. See "Federal Income Tax Considerations."</w:t>
      </w:r>
    </w:p>
    <w:p>
      <w:pPr>
        <w:spacing w:after="0" w:line="397"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The principal executive offices of the Company are located at 20371 Irvine Avenue, Santa Ana Heights, California 92707, telephone (714) 556-0122.</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Manager, ICAI, oversees the day-to-day operations of the Company, subject to the supervision of the Company's Board of Directors. The Manager is involved in three primary activities: (1) asset-liability management--the analysis and oversight of the acquisition, financing and disposition of Company assets; (2) capital management--primarily the oversight of the Company's structuring, analysis, capital raising and investor relations activities; and (3) operations management--primarily the oversight of IMH's operating subsidiaries. The Manager has employed personnel who have significant experience in mortgage finance and in the purchase and administration of mortgage assets. See "Imperial Credit Advisors, Inc.-- Management Agreement."</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net proceeds of this Offering are estimated to be $35.9 million (or $41.4 million if the Underwriters' over-allotment option is exercised in full). It is expected that approximately 70% and 20% of such proceeds will be used to provide funding for the Company's Long-Term Investment Operations and its Warehouse Lending Operations, respectively. The balance of such proceeds will be used for working capital and general corporate purposes. Pending these uses, the proceeds may be invested temporarily to the extent consistent with the REIT provisions of the Code.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anticipates that it will fully invest the net proceeds of this Offering in mortgage loans and mortgage-backed securities within 60 days after completion of this Offering. The Company has not specifically identified any mortgage loans and mortgage-backed securities in which to invest the proceeds of this Offering.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PRICE RANGE OF COMMON STOCK</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Company's Common Stock is listed on the Amex under the symbol IMH. The following table sets forth for the periods indicated the high and low sale prices for the Common Stock as reported by the Amex.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70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Fourth Quarter (from November 20, 1995)...........................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$12.88</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Second Quarter (through May 15, 1996).............................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14.75</w:t>
            </w:r>
          </w:p>
        </w:tc>
      </w:tr>
    </w:tbl>
    <w:p>
      <w:pPr>
        <w:spacing w:after="0" w:line="200" w:lineRule="exact"/>
        <w:rPr>
          <w:sz w:val="20"/>
          <w:szCs w:val="20"/>
          <w:color w:val="auto"/>
        </w:rPr>
      </w:pP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 May 15, 1996, the last reported sale price of the Common Stock on the Amex was $15.50 per share. As of May 15, 1996, there were approximately 168 holders of record of the Company's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564" w:gutter="0" w:footer="0" w:header="0"/>
        </w:sectPr>
      </w:pPr>
    </w:p>
    <w:bookmarkStart w:id="26" w:name="page27"/>
    <w:bookmarkEnd w:id="26"/>
    <w:p>
      <w:pPr>
        <w:ind w:left="2440"/>
        <w:spacing w:after="0"/>
        <w:rPr>
          <w:sz w:val="20"/>
          <w:szCs w:val="20"/>
          <w:color w:val="auto"/>
        </w:rPr>
      </w:pPr>
      <w:r>
        <w:rPr>
          <w:rFonts w:ascii="Courier New" w:cs="Courier New" w:eastAsia="Courier New" w:hAnsi="Courier New"/>
          <w:sz w:val="18"/>
          <w:szCs w:val="18"/>
          <w:color w:val="auto"/>
        </w:rPr>
        <w:t>DIVIDEND POLICY AND DISTRIBUTIONS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To maintain its qualification as a REIT, IMH intends to make annual distributions to stockholders of at least 95% of its taxable income (which may not necessarily equal net income as calculated in accordance with GAAP), dertermined without regard to the deduction for dividends paid and by excluding any net capital gains. The Company declares regular quarterly dividend distributions on or about the twenty-second day of the month following said quarter. Any taxable income remaining after the distribution of the regular quarterly dividends will be distributed annually in a special dividend on or prior to the date of the first regular quarterly dividends payment date of the following taxable year. The dividend policy is subject to revision at the discretion of the Board of Directors. All distributions in excess of those required for IMH to maintain REIT status will be made by the Company at the discretion of the Board of Directors and will depend on the taxable earnings of the Company, the financial condition of the Company and such other factors as the Board of Directors deems relevant. The Board of Directors has not established a minimum distribution level. The Company declared its initial dividend of $0.08 per share on January 25, 1996 for the Interim Period and a dividend of $0.39 per share on April 16, 1996 for the quarter ended March 31, 1996.</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Distributions to stockholders will generally be taxable as ordinary income, although a portion of such distributions may be designated by IMH as capital gain or may constitute a tax-free return of capital. IMH will annually furnish to each of its stockholders a statement setting forth distributions paid during the preceding year and their characterization as ordinary income, capital gains or return of capital. For a discussion of the federal income tax treatment of distributions by IMH, see "Federal Income Tax Considerations."</w:t>
      </w:r>
    </w:p>
    <w:p>
      <w:pPr>
        <w:spacing w:after="0" w:line="18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DIVIDEND REINVESTMENT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adopted a dividend reinvestment plan for stockholders who wish to reinvest their dividend distributions in additional shares of Common Stock. Stockholders owning 100 or more shares of Common Stock are eligible to participate in the DRP. Pursuant to the DRP, dividends paid with respect to shares of the Company's Common Stock owned by participants in the DRP will be automatically invested in additional shares of Common Stock on the dividend payment date or not later than 15 days thereafter at the DRP Purchase Price, which is 97% of the then current market price of the Common Stock. Boston EquiServe, L.P., the Company's transfer agent, acts as the trustee and administrator of the DRP (the "Agent"). All dividends and cash distributions paid with respect to the Common Stock owned by participants in the DRP will be paid directly to the Agent. Dividends not immediately reinvested on the payment date will be held in a non-interest bearing account pending the investment in the Common Stock not later than 15 days thereafter. If the dividend paid to any stockholder is not sufficient to purchase a whole number of shares of Common Stock, such stockholder will be credited with fractional shares, computed to four decimal places. DRP participants will generally be treated as having received a taxable cash distribution or a taxable stock distribution, depending on whether the Common Stock purchased with the reinvested dividends is purchased in the open market or directly from the Company, respectively. See "Federal Income Tax Considerations--Taxation of Taxable U.S. Stockholders Generally."</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Shares of Common Stock will be acquired by the Agent in transactions on the open market or purchased directly from the Company at the option of the Company. All brokerage commissions and fees, if any, will be paid by participants in the DRP from the amount of the dividend or distribution. No brokerage commissions or discounts or fees will be paid to the Company with respect to the purchase of Common Stock directly from the Company. To the extent shares of Common Stock are not available for purchase, the Agent will distribute the cash to participants in the DRP.</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Stockholders are not automatically enrolled in the DRP. Each stockholder desiring to participate must complete and deliver to the Agent an enrollment form, which will be sent to each eligible stockholder following this Offering and the registration under the Securities Act of the shares to be offered by the Company pursuant to the DRP. Participation in the DRP will commence with all dividends and distributions payable after receipt of a participant's authorization, provided that the authorization must be received by the Agent prior to the record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27" w:name="page28"/>
    <w:bookmarkEnd w:id="27"/>
    <w:p>
      <w:pPr>
        <w:ind w:right="2199"/>
        <w:spacing w:after="0" w:line="237" w:lineRule="auto"/>
        <w:rPr>
          <w:sz w:val="20"/>
          <w:szCs w:val="20"/>
          <w:color w:val="auto"/>
        </w:rPr>
      </w:pPr>
      <w:r>
        <w:rPr>
          <w:rFonts w:ascii="Courier New" w:cs="Courier New" w:eastAsia="Courier New" w:hAnsi="Courier New"/>
          <w:sz w:val="18"/>
          <w:szCs w:val="18"/>
          <w:color w:val="auto"/>
        </w:rPr>
        <w:t>date for any dividends in order for any stockholder to be eligible for reinvestment of such dividends. A participant may terminate participation in the DRP at any time upon delivery of a written notice to that effect to the Agent, provided that the termination notice must be received by the Agent at least two business days prior to the record date for any dividends in order for the termination to be effective with respect to such dividends. Upon termination, the Agent will send to the participant certificates evidencing the whole shares in the participant's account and a check for any fractional shares based on the current market value of the Common Stock on the date of termination.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Participants will be sent detailed statements showing the amount of dividend or distribution received, the number and price of shares of the Common Stock purchased for their accounts and the total number of shares held by the Agent for their accounts. Tax information for each calendar year of the DRP will be sent to participants by the Agent.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DRP may be amended by the Board of Directors provided that notice of such amendment is sent to participants not later than 10 days prior to the effective date thereof. Any such amendment will be effective only with respect to dividends or distributions paid subsequent to the delivery of such notice. The Board of Directors may terminate the DRP for any reason by delivering notice thereof to all participants.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shares issuable by the Company pursuant to the DRP are not being registered by means of the Registration Statement of which this Prospectus forms a part. To the extent such shares are issued by the Company, such shares will be registered under the Securities Act by means of a separate registration statement.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8" w:name="page29"/>
    <w:bookmarkEnd w:id="28"/>
    <w:p>
      <w:pPr>
        <w:jc w:val="center"/>
        <w:ind w:right="19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capitalization of the Company at March 31, 1996 and as adjusted to give effect to the issuance of 2,500,000 shares of Common Stock offered hereby at an assumed public offering price of $15.50 per share and the application of the estimated net proceeds therefrom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27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MARCH 31, 1996</w:t>
            </w:r>
          </w:p>
        </w:tc>
      </w:tr>
      <w:tr>
        <w:trPr>
          <w:trHeight w:val="203"/>
        </w:trPr>
        <w:tc>
          <w:tcPr>
            <w:tcW w:w="564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56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ACTUAL</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ADJUSTED (1)(2)</w:t>
            </w:r>
          </w:p>
        </w:tc>
      </w:tr>
      <w:tr>
        <w:trPr>
          <w:trHeight w:val="203"/>
        </w:trPr>
        <w:tc>
          <w:tcPr>
            <w:tcW w:w="56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4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Reverse repurchase agreements........................</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$528,746</w:t>
            </w:r>
          </w:p>
        </w:tc>
        <w:tc>
          <w:tcPr>
            <w:tcW w:w="16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$528,746</w:t>
            </w:r>
          </w:p>
        </w:tc>
      </w:tr>
      <w:tr>
        <w:trPr>
          <w:trHeight w:val="203"/>
        </w:trPr>
        <w:tc>
          <w:tcPr>
            <w:tcW w:w="5640" w:type="dxa"/>
            <w:vAlign w:val="bottom"/>
          </w:tcPr>
          <w:p>
            <w:pPr>
              <w:jc w:val="right"/>
              <w:ind w:right="3332"/>
              <w:spacing w:after="0" w:line="203" w:lineRule="exact"/>
              <w:rPr>
                <w:sz w:val="20"/>
                <w:szCs w:val="20"/>
                <w:color w:val="auto"/>
              </w:rPr>
            </w:pPr>
            <w:r>
              <w:rPr>
                <w:rFonts w:ascii="Courier New" w:cs="Courier New" w:eastAsia="Courier New" w:hAnsi="Courier New"/>
                <w:sz w:val="18"/>
                <w:szCs w:val="18"/>
                <w:color w:val="auto"/>
                <w:w w:val="96"/>
              </w:rPr>
              <w:t>Stockholders' equity:</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 shares authorized; no shares issued and</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actual, pro forma and as adjusted.....</w:t>
            </w:r>
          </w:p>
        </w:tc>
        <w:tc>
          <w:tcPr>
            <w:tcW w:w="1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50,000,000 shares authorized; 4,250,000 shares</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issued and outstanding actual, 6,750,000 shares as</w:t>
            </w: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44,971</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80,815</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securities valuation allowance..........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1,669</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1,669</w:t>
            </w:r>
          </w:p>
        </w:tc>
      </w:tr>
      <w:tr>
        <w:trPr>
          <w:trHeight w:val="203"/>
        </w:trPr>
        <w:tc>
          <w:tcPr>
            <w:tcW w:w="56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46,616</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82,485</w:t>
            </w:r>
          </w:p>
        </w:tc>
      </w:tr>
      <w:tr>
        <w:trPr>
          <w:trHeight w:val="203"/>
        </w:trPr>
        <w:tc>
          <w:tcPr>
            <w:tcW w:w="56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$575,362</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$611,231</w:t>
            </w:r>
          </w:p>
        </w:tc>
      </w:tr>
      <w:tr>
        <w:trPr>
          <w:trHeight w:val="203"/>
        </w:trPr>
        <w:tc>
          <w:tcPr>
            <w:tcW w:w="56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619" w:hanging="412"/>
        <w:spacing w:after="0" w:line="268"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deducting estimated underwriting discounts and commissions and estimated offering expenses of $750,000 payable by the Company, and assuming no exercise of the Underwriters' over-allotment option to purchase up to an additional 375,000 shares of Common Stock.</w:t>
      </w:r>
    </w:p>
    <w:p>
      <w:pPr>
        <w:ind w:left="420" w:right="2099" w:hanging="412"/>
        <w:spacing w:after="0" w:line="271"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400,000 shares reserved for issuance pursuant to the Company's Stock Option Plan, of which options to acquire 250,000 shares are outstanding at a per share exercise price of $11.25 and options to acquire 45,000 shares are outstanding at a per share exercise price of $13.00. The Company intends to increase the number of shares reserved for issuance under its Stock Option Plan by 400,000 shares, subject to stockholder approval at its annual stockholders' meeting to be held in July 1996. See "Imperial Credit Mortgage Holdings, Inc.--Stock Options."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9" w:name="page30"/>
    <w:bookmarkEnd w:id="29"/>
    <w:p>
      <w:pPr>
        <w:jc w:val="center"/>
        <w:ind w:right="1879"/>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selected consolidated statement of operations data for each of the years in the three-year period ended December 31, 1995 and the consolidated balance sheet data as of December 31, 1995 and 1994 were derived from the Company's and ICIFC's financial statements audited by KPMG Peat Marwick LLP ("KPMG"), independent auditors, whose reports with respect thereto appear elsewhere herein. The selected consolidated statement of operations data for the year ended December 31, 1992 and the selected consolidated balance sheet data as of December 31, 1993 were derived from the combined financial statements of the Company and ICIFC, audited by KPMG. The selected consolidated balance sheet data as of December 31, 1992 was derived from the unaudited financial statements of the Company and ICIFC. Such selected financial data should be read in conjunction with those financial statements and the notes thereto and with "Management's Discussion and Analysis of Financial Condition and Results of Operations" also included elsewhere herein. The following selected financial data for the three month periods ended March 31, 1996 and 1995 were derived from the unaudited financial statements of the Company and ICIFC and include adjustments, consisting only of normal recurring adjustments, which management considers necessary for a fair presentation of such financial information for those periods. Results for the three months ended March 31, 1996 are not necessarily indicative of results for the year ending December 31, 1996.</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discussed further in the notes to the Company's financial statements, Pre-Contribution Transaction (as defined below), the Company's financial statements were prepared based upon the historical operations of IWLG, as a division of SPTL, and include the Company's equity interest in ICIFC, as a division of ICII. Since IWLG's operations began late in December of 1991, the selected financial data begins with 1992. ICIFC selected financial data also begins with 1992. Prior to 1992, operations of ICIFC were not maintained separate from the operations of ICII. Since the Company believes the operations of ICIFC prior to 1992 are not material, 1990 and 1991 statement of operations and balance sheet data are not presented. Mortgage loan origination volume of ICIFC for the year ended December 31, 1991 was approximately $178 million, and ICIFC 's servicing portfolio totaled $528 million at December 31, 1991.</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IMPERIAL CREDIT MORTGAGE HOLDINGS,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Courier New" w:cs="Courier New" w:eastAsia="Courier New" w:hAnsi="Courier New"/>
                <w:sz w:val="18"/>
                <w:szCs w:val="18"/>
                <w:color w:val="auto"/>
              </w:rPr>
              <w:t>THREE MONTHS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8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ENDED MARCH 31,</w:t>
            </w:r>
          </w:p>
        </w:tc>
        <w:tc>
          <w:tcPr>
            <w:tcW w:w="30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3580" w:type="dxa"/>
            <w:vAlign w:val="bottom"/>
          </w:tcPr>
          <w:p>
            <w:pPr>
              <w:spacing w:after="0"/>
              <w:rPr>
                <w:sz w:val="17"/>
                <w:szCs w:val="17"/>
                <w:color w:val="auto"/>
              </w:rPr>
            </w:pPr>
          </w:p>
        </w:tc>
        <w:tc>
          <w:tcPr>
            <w:tcW w:w="486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Interest income.................</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767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685</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Equity in net income of ICI</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Funding Corporation............</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4,192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 income......................</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13,724</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4,584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2,144</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on borrowings from</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reverse-repurchase agreements..</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9,009</w:t>
            </w:r>
          </w:p>
        </w:tc>
        <w:tc>
          <w:tcPr>
            <w:tcW w:w="1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1,116</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on borrowings from</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SPTL...........................</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Provision for finance receivable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losses.........................</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Advisory fee....................</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w:t>
            </w:r>
          </w:p>
        </w:tc>
        <w:tc>
          <w:tcPr>
            <w:tcW w:w="1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expenses.......................</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12,030</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1,694</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1,664</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(taxes) benefit...........</w:t>
            </w:r>
          </w:p>
        </w:tc>
        <w:tc>
          <w:tcPr>
            <w:tcW w:w="3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$1,492</w:t>
            </w:r>
          </w:p>
        </w:tc>
      </w:tr>
      <w:tr>
        <w:trPr>
          <w:trHeight w:val="203"/>
        </w:trPr>
        <w:tc>
          <w:tcPr>
            <w:tcW w:w="35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59"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AT DECEMBER 31,</w:t>
            </w:r>
          </w:p>
        </w:tc>
        <w:tc>
          <w:tcPr>
            <w:tcW w:w="80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AT MARCH 31, -------------------------------</w:t>
            </w:r>
          </w:p>
        </w:tc>
      </w:tr>
      <w:tr>
        <w:trPr>
          <w:trHeight w:val="203"/>
        </w:trPr>
        <w:tc>
          <w:tcPr>
            <w:tcW w:w="364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6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$582,180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$613,688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$13,591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$10,287</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loans held for</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311,461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Finance receivables, net..........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196,066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582,921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9,022</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ICI Funding</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Corporation......................</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9,536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Borrowings from SPTL..............</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8,785</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 on reverse-repurchase</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agreements.......................</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528,746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567,727</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stockholders' equity........</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46,616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45,236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w:t>
            </w:r>
          </w:p>
        </w:tc>
      </w:tr>
      <w:tr>
        <w:trPr>
          <w:trHeight w:val="810"/>
        </w:trPr>
        <w:tc>
          <w:tcPr>
            <w:tcW w:w="3640" w:type="dxa"/>
            <w:vAlign w:val="bottom"/>
          </w:tcPr>
          <w:p>
            <w:pPr>
              <w:spacing w:after="0"/>
              <w:rPr>
                <w:sz w:val="24"/>
                <w:szCs w:val="24"/>
                <w:color w:val="auto"/>
              </w:rPr>
            </w:pPr>
          </w:p>
        </w:tc>
        <w:tc>
          <w:tcPr>
            <w:tcW w:w="13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24</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41" w:right="1440" w:bottom="1440" w:gutter="0" w:footer="0" w:header="0"/>
        </w:sectPr>
      </w:pPr>
    </w:p>
    <w:bookmarkStart w:id="31" w:name="page32"/>
    <w:bookmarkEnd w:id="31"/>
    <w:p>
      <w:pPr>
        <w:jc w:val="center"/>
        <w:ind w:right="1879"/>
        <w:spacing w:after="0"/>
        <w:rPr>
          <w:sz w:val="20"/>
          <w:szCs w:val="20"/>
          <w:color w:val="auto"/>
        </w:rPr>
      </w:pPr>
      <w:r>
        <w:rPr>
          <w:rFonts w:ascii="Courier New" w:cs="Courier New" w:eastAsia="Courier New" w:hAnsi="Courier New"/>
          <w:sz w:val="18"/>
          <w:szCs w:val="18"/>
          <w:color w:val="auto"/>
        </w:rPr>
        <w:t>ICI FUNDING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OPERATING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THREE MONTHS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ENDED MARCH 31,</w:t>
            </w:r>
          </w:p>
        </w:tc>
        <w:tc>
          <w:tcPr>
            <w:tcW w:w="28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1"/>
              </w:rPr>
              <w: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2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1996</w:t>
            </w:r>
          </w:p>
        </w:tc>
        <w:tc>
          <w:tcPr>
            <w:tcW w:w="2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1994</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1993</w:t>
            </w:r>
          </w:p>
        </w:tc>
        <w:tc>
          <w:tcPr>
            <w:tcW w:w="1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1992</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INCOME STATEMENT DATA:</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$ 11,119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Gain on sale of loans..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2,613</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4,135</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5,859</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1,155</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Loan servicing income..</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5,159</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4,043</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1,131</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 of</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servicing rights......</w:t>
            </w:r>
          </w:p>
        </w:tc>
        <w:tc>
          <w:tcPr>
            <w:tcW w:w="3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5,332</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2,135</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13,764</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10,913</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10,522</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12,568</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4,421</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on borrowings.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11,219</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1,785</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w:t>
            </w:r>
          </w:p>
        </w:tc>
        <w:tc>
          <w:tcPr>
            <w:tcW w:w="1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3,663</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6,333</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1,988</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losses................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2,892</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2,070</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w:t>
            </w:r>
          </w:p>
        </w:tc>
        <w:tc>
          <w:tcPr>
            <w:tcW w:w="16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12,833</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8,340</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9,596</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5,268</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2,237</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931</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2,573</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926</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7,300</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2,184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(1,069)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(3,066)</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$ 1,504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$ 4,234</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$1,267</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DATA (IN</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MILLIONS):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loan</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 (volume)..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$ 1,117</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$ 1,709</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$ 2,149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Servicing portfolio.....</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652</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w:t>
            </w:r>
          </w:p>
        </w:tc>
      </w:tr>
      <w:tr>
        <w:trPr>
          <w:trHeight w:val="405"/>
        </w:trPr>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AT DECEMBER 31,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5280" w:type="dxa"/>
            <w:vAlign w:val="bottom"/>
            <w:gridSpan w:val="9"/>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AT MARCH 31, -----------------------------------</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1996</w:t>
            </w:r>
          </w:p>
        </w:tc>
        <w:tc>
          <w:tcPr>
            <w:tcW w:w="2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1993</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loans held for</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sale...................</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$179,631</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$544,273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2,657</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11,453</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9,551</w:t>
            </w:r>
          </w:p>
        </w:tc>
        <w:tc>
          <w:tcPr>
            <w:tcW w:w="1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188,106</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552,631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12,097</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10,158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 (receivable)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ICII..............</w:t>
            </w:r>
          </w:p>
        </w:tc>
        <w:tc>
          <w:tcPr>
            <w:tcW w:w="3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5,698</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4,657</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(1,129)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Borrowings from IWLG....</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173,408</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550,291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equity..................</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9,632</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6,399</w:t>
            </w:r>
          </w:p>
        </w:tc>
        <w:tc>
          <w:tcPr>
            <w:tcW w:w="2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5,501</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1,267</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08"/>
        </w:trPr>
        <w:tc>
          <w:tcPr>
            <w:tcW w:w="2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83"/>
              </w:rPr>
              <w:t>25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2" w:name="page33"/>
    <w:bookmarkEnd w:id="32"/>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Prospectus contains forward-looking statements that inherently involve risks and uncertainties. The Company's actual results could differ materially from those anticipated in these forward-looking statements as a result of certain factors, including those set forth in the following section and elsewhere in this Prospectus. The following discussion should be read in conjunction with the Financial Statements and Notes thereto appearing elsewhere in this Prospectus.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IMH's principal sources of net income are (1) net income from its Long-Term Investment Operations, (2) dividends from the Conduit Operations, which are fully subject to federal and state income taxes, and (3) net income from IWLG, the Warehouse Lending Operations. The principal source of income from its Long-Term Investment Operations is net interest income, which is the net spread between interest earned on mortgage loans and securities held for investment and the interest costs associated with the borrowings used to finance such loans and securities. The principal sources of income from ICIFC are gains recognized on the sale of mortgage loans and securities, net interest income earned on loans purchased by ICIFC pending their securitization or resale, servicing fees, commitment fees and processing fee income. The principal sources of income from IWLG are the net spread between interest earned on short-term lines of credit (warehouse loans) and the interest costs associated with the borrowings used to finance such loans and the fee income received from the borrowers in connection with such short-term borrowings.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CONTRIBUTION TRANSACTION</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On November 20, 1995, ICII contributed to ICIFC certain of the operating assets and certain customer lists of ICII's mortgage conduit operations, including all of ICII's mortgage conduit operations' commitments to purchase mortgage loans subject to rate locks from correspondents (having a principal balance of $44.3 million on November 20, 1995), in exchange for shares representing 100% of the common stock and 100% of the non-voting preferred stock of ICIFC. Simultaneously, on November 20, 1995, in exchange for 500,000 shares of common stock, (i) ICII contributed to IMH all of the outstanding non-voting preferred stock of ICIFC, which represents 99% of the economic interest in ICIFC, (ii) SPTL contributed to IMH certain of the operating assets and certain customer lists of SPTL's warehouse lending division, and</w:t>
      </w:r>
    </w:p>
    <w:p>
      <w:pPr>
        <w:spacing w:after="0" w:line="2" w:lineRule="exact"/>
        <w:rPr>
          <w:sz w:val="20"/>
          <w:szCs w:val="20"/>
          <w:color w:val="auto"/>
        </w:rPr>
      </w:pPr>
    </w:p>
    <w:p>
      <w:pPr>
        <w:ind w:right="1999" w:firstLine="8"/>
        <w:spacing w:after="0" w:line="238"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ICII and SPTL executed a Non-Compete Agreement and a Right of First Refusal Agreement, each having a term of two years from November 20, 1995. Of the 500,000 shares issued pursuant to the Contribution Transaction, 450,000 shares were issued to ICII and 50,000 shares were issued to SPTL. All of the outstanding shares of common stock of ICIFC were retained by ICII. Lastly, IMH contributed to IWLG all of the aforementioned operating assets of SPTL's warehouse lending operations contributed to it in exchange for shares representing 100% of the common stock of IWLG thereby forming it as a wholly owned subsidiary. On November 20, 1995, the net tangible book value of the assets contributed pursuant to the Contribution Transaction was $525,000. ICII and SPTL retained all other assets and liabilities related to contributed operations, which at November 20, 1995 consisted mostly of $11.7 million of MSRs, $22.4 million of finance receivables and $26.6 million in advances made by ICII and SPTL to fund mortgage conduit loan acquisitions and to fund finance receivables, respectively.</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References to the Pre-Contribution Transaction period refer to the periods prior to November 20, 1995. References to the Post-Contribution Transaction period refer to periods after November 20, 1995. References to financial information of IMH reflect the financial operations of IMH and its subsidiary IWLG and IMH's equity interest in ICIFC Post-Contribution Transaction and the pro forma financial data of IMH's equity interest in SPTL's warehouse lending operations and ICII's mortgage conduit operations Pre-Contribution Transaction. References to financial information of ICIFC reflect the financial data of ICIFC Post-Contribution Transaction and the pro forma financial information of ICII's mortgage conduit operation Pre-Contribution Transaction.</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767" w:gutter="0" w:footer="0" w:header="0"/>
        </w:sectPr>
      </w:pPr>
    </w:p>
    <w:bookmarkStart w:id="33" w:name="page34"/>
    <w:bookmarkEnd w:id="33"/>
    <w:p>
      <w:pPr>
        <w:ind w:right="1999" w:firstLine="211"/>
        <w:spacing w:after="0" w:line="237" w:lineRule="auto"/>
        <w:rPr>
          <w:sz w:val="20"/>
          <w:szCs w:val="20"/>
          <w:color w:val="auto"/>
        </w:rPr>
      </w:pPr>
      <w:r>
        <w:rPr>
          <w:rFonts w:ascii="Courier New" w:cs="Courier New" w:eastAsia="Courier New" w:hAnsi="Courier New"/>
          <w:sz w:val="18"/>
          <w:szCs w:val="18"/>
          <w:color w:val="auto"/>
        </w:rPr>
        <w:t>As discussed further in the Notes to ICIFC's financial statements, the results of operations of ICIFC, of which 99% of the economic interest is owned by IMH, are included in the results of operations for IMH as "Equity in net income of ICI Funding Corporation." For Pre-Contribution Transaction, the financial statements included elsewhere herein reflect management's estimate of the level of previous capital and the amounts of interest charges and general and administrative expense and taxes that ICII's mortgage conduit operations would have incurred had it operated as an entity separate from ICII.</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HISTORICAL TRENDS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ICIFC's mortgage loan acquisitions decreased from $1.7 billion in 1994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billion in 1995, which included $501.4 million in mortgage loans acquired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ICII and its affiliates Post-Contribution Transaction.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attributes this decrease in mortgage loan acquisitions to the overall decrease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mortgage loan originations throughout the mortgage industry as a result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interest rates during 1995. In addition, the decrease in mortgage</w:t>
      </w:r>
    </w:p>
    <w:p>
      <w:pPr>
        <w:spacing w:after="0" w:line="238" w:lineRule="auto"/>
        <w:rPr>
          <w:sz w:val="20"/>
          <w:szCs w:val="20"/>
          <w:color w:val="auto"/>
        </w:rPr>
      </w:pPr>
      <w:r>
        <w:rPr>
          <w:rFonts w:ascii="Courier New" w:cs="Courier New" w:eastAsia="Courier New" w:hAnsi="Courier New"/>
          <w:sz w:val="18"/>
          <w:szCs w:val="18"/>
          <w:color w:val="auto"/>
        </w:rPr>
        <w:t>loan acquisitions resulted from ICIFC's refocus from the conforming to the</w:t>
      </w:r>
    </w:p>
    <w:p>
      <w:pPr>
        <w:spacing w:after="0"/>
        <w:rPr>
          <w:sz w:val="20"/>
          <w:szCs w:val="20"/>
          <w:color w:val="auto"/>
        </w:rPr>
      </w:pPr>
      <w:r>
        <w:rPr>
          <w:rFonts w:ascii="Courier New" w:cs="Courier New" w:eastAsia="Courier New" w:hAnsi="Courier New"/>
          <w:sz w:val="18"/>
          <w:szCs w:val="18"/>
          <w:color w:val="auto"/>
        </w:rPr>
        <w:t>non-conforming mortgage loan market and increased competition in such non-</w:t>
      </w:r>
    </w:p>
    <w:p>
      <w:pPr>
        <w:spacing w:after="0" w:line="237" w:lineRule="auto"/>
        <w:rPr>
          <w:sz w:val="20"/>
          <w:szCs w:val="20"/>
          <w:color w:val="auto"/>
        </w:rPr>
      </w:pPr>
      <w:r>
        <w:rPr>
          <w:rFonts w:ascii="Courier New" w:cs="Courier New" w:eastAsia="Courier New" w:hAnsi="Courier New"/>
          <w:sz w:val="18"/>
          <w:szCs w:val="18"/>
          <w:color w:val="auto"/>
        </w:rPr>
        <w:t>conforming market. ICIFC was also adversely affected by the increase in</w:t>
      </w:r>
    </w:p>
    <w:p>
      <w:pPr>
        <w:spacing w:after="0" w:line="238" w:lineRule="auto"/>
        <w:rPr>
          <w:sz w:val="20"/>
          <w:szCs w:val="20"/>
          <w:color w:val="auto"/>
        </w:rPr>
      </w:pPr>
      <w:r>
        <w:rPr>
          <w:rFonts w:ascii="Courier New" w:cs="Courier New" w:eastAsia="Courier New" w:hAnsi="Courier New"/>
          <w:sz w:val="18"/>
          <w:szCs w:val="18"/>
          <w:color w:val="auto"/>
        </w:rPr>
        <w:t>interest rates during 1994, resulting in a 20% decline in mortgage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in 1994 to $1.7 billion from $2.1 billion originated in 1993.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aforementioned decline in mortgage acquisitions resulted in higher operating</w:t>
      </w:r>
    </w:p>
    <w:p>
      <w:pPr>
        <w:spacing w:after="0" w:line="238" w:lineRule="auto"/>
        <w:rPr>
          <w:sz w:val="20"/>
          <w:szCs w:val="20"/>
          <w:color w:val="auto"/>
        </w:rPr>
      </w:pPr>
      <w:r>
        <w:rPr>
          <w:rFonts w:ascii="Courier New" w:cs="Courier New" w:eastAsia="Courier New" w:hAnsi="Courier New"/>
          <w:sz w:val="18"/>
          <w:szCs w:val="18"/>
          <w:color w:val="auto"/>
        </w:rPr>
        <w:t>costs as a percentage of acquisitions, despite ICIFC's efforts to reduce</w:t>
      </w:r>
    </w:p>
    <w:p>
      <w:pPr>
        <w:spacing w:after="0"/>
        <w:rPr>
          <w:sz w:val="20"/>
          <w:szCs w:val="20"/>
          <w:color w:val="auto"/>
        </w:rPr>
      </w:pPr>
      <w:r>
        <w:rPr>
          <w:rFonts w:ascii="Courier New" w:cs="Courier New" w:eastAsia="Courier New" w:hAnsi="Courier New"/>
          <w:sz w:val="18"/>
          <w:szCs w:val="18"/>
          <w:color w:val="auto"/>
        </w:rPr>
        <w:t>excess production capacity through 1994 and 1995.</w:t>
      </w:r>
    </w:p>
    <w:p>
      <w:pPr>
        <w:spacing w:after="0" w:line="20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 effort to increase profitability, ICIFC reduced operating expenses in 1994 and 1995, primarily through a reduction in personnel. At March 31, 1996, ICIFC employed 60 employees, an increase of 43% from 42 employees at March 31, 1995. At December 31, 1995, ICIFC had 60 employees, a 13% decrease from 71 employees at December 31, 1994. At December 31, 1994, the conduit operations of ICII employed 71 employees, a 57% decrease from 167 employees at December 31, 1993. ICIFC continues to assess its work force in order to properly match its loan acquisition capacity to current market demands. In 1995, ICIFC also emphasized the acquisition of higher margin non-conforming mortgage loan products which provided a higher return than conforming mortgage loans.</w:t>
      </w:r>
    </w:p>
    <w:p>
      <w:pPr>
        <w:spacing w:after="0" w:line="18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During the three months ended March 31, 1996, ICIFC's mortgage loan acquisitions increased 139% to $280.5 million as compared to $117.4 million for the same period in 1995. Excluding the acquisition of mortgage loans from ICII or its affiliated mortgage banking operations, ICIFC's mortgage loan acquisitions declined 1% to $116.2 million in the first three months of 1996 as compared to $117.4 million for the same period in 1995. The increase in mortgage loan acquisitions for the three months ended March 31, 1996 as compared to the same period the previous year was primarily the result of the Company's increased marketing and sales effort subsequent to the Initial Public Offering and its acquisitions from ICII and the mortgage banking operations affiliated with ICII. As ICII divests itself of its affiliated mortgage banking operations, to the extent permitted by the Non-Compete Agreement, ICIFC expects to continue to acquire loans from these newly-formed mortgage banking entities. In conjunction with the increase in loan acquisitions and ICIFC's divestiture from ICII, the Company has added additional personnel to handle functions previously performed by ICII.</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ACCOUNTING FOR SERVICING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ICIFC purchases loans that include the associated servicing rights, the allocated price paid for the servicing rights, net of amortization based on assumed prepayment rates, is reflected on its financial statements as MSRs. During 1995 and 1994, the Conduit Operations' MSRs decreased by $11.5 million and increased by $1.9 million, respectively. As part of the Contribution Transaction, ICII retained all of ICIFC's MSRs in the amount of $11.7 million, leaving ICIFC with no MSRs at December 31, 1995.</w:t>
      </w:r>
    </w:p>
    <w:p>
      <w:pPr>
        <w:spacing w:after="0" w:line="20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On May 12, 1995, the Financial Accounting Standards Board issued SFAS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 "Accounting for Mortgage Servicing Rights," an amendment to SFAS No. 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ICIFC elected to adopt this standard retroactive to January 1, 1995. SFAS 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122 prohibits retroactive application to years prior to 1995.</w:t>
      </w:r>
    </w:p>
    <w:p>
      <w:pPr>
        <w:spacing w:after="0" w:line="207" w:lineRule="exact"/>
        <w:rPr>
          <w:sz w:val="20"/>
          <w:szCs w:val="20"/>
          <w:color w:val="auto"/>
        </w:rPr>
      </w:pPr>
    </w:p>
    <w:p>
      <w:pPr>
        <w:jc w:val="both"/>
        <w:ind w:right="2419" w:firstLine="211"/>
        <w:spacing w:after="0" w:line="279" w:lineRule="auto"/>
        <w:rPr>
          <w:sz w:val="20"/>
          <w:szCs w:val="20"/>
          <w:color w:val="auto"/>
        </w:rPr>
      </w:pPr>
      <w:r>
        <w:rPr>
          <w:rFonts w:ascii="Courier New" w:cs="Courier New" w:eastAsia="Courier New" w:hAnsi="Courier New"/>
          <w:sz w:val="16"/>
          <w:szCs w:val="16"/>
          <w:color w:val="auto"/>
        </w:rPr>
        <w:t>SFAS No. 122 requires that a portion of the cost of acquiring a mortgage loan be allocated to the mortgage loan servicing rights based on its fair value relative to the loan as a whole. To determine the fair value of the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362" w:gutter="0" w:footer="0" w:header="0"/>
        </w:sectPr>
      </w:pPr>
    </w:p>
    <w:bookmarkStart w:id="34" w:name="page35"/>
    <w:bookmarkEnd w:id="34"/>
    <w:p>
      <w:pPr>
        <w:ind w:right="1999"/>
        <w:spacing w:after="0" w:line="237" w:lineRule="auto"/>
        <w:rPr>
          <w:sz w:val="20"/>
          <w:szCs w:val="20"/>
          <w:color w:val="auto"/>
        </w:rPr>
      </w:pPr>
      <w:r>
        <w:rPr>
          <w:rFonts w:ascii="Courier New" w:cs="Courier New" w:eastAsia="Courier New" w:hAnsi="Courier New"/>
          <w:sz w:val="18"/>
          <w:szCs w:val="18"/>
          <w:color w:val="auto"/>
        </w:rPr>
        <w:t>servicing rights created, ICIFC uses a valuation model that calculates the present value of future net servicing revenues to determine the fair value of the servicing rights. In using this valuation method, ICIFC incorporates assumptions that it believes market participants would use in estimating future net servicing income which includes estimates of the cost of servicing, an inflation rate, an ancillary income per loan, a prepayment rate, a default rate and a market discount rate.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ICIFC determines servicing value impairment by disaggregating its mortgage conduit operations' servicing portfolio into its predominant risk characteristics. ICIFC determines those risk characteristics to be loan program type and interest rate. These segments of the portfolio are then evaluated, using market prices under comparable servicing sale contracts, when available, or alternatively using the same model as was used to originally determine the fair value at acquisition, using current assumptions at the end of the quarter. The calculated value is then compared to the capitalized recorded value of each loan type and interest rate segment to determine if a valuation allowance is required. At March 31, 1996, ICIFC had capitalized $2.7 million of MSRs. At December 31, 1995, ICIFC had no MSRs since ICII retained these assets as part of the Contribution Transaction. However, as ICIFC continues to rebuild its mortgage loan servicing portfolio, ICIFC expects to continue to use the same valuation methodology as described above.</w:t>
      </w:r>
    </w:p>
    <w:p>
      <w:pPr>
        <w:spacing w:after="0" w:line="3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MSRs are subject to some degree of volatility in the event of unanticipated prepayments or defaults. Prepayments in excess of those anticipated at the time MSRs are recorded could result in a decline in the fair value of the MRSs below their carrying value requiring a provision to increase the MSRs' valuation allowance. The rate of prepayment of loans is affected by a variety of economic and other factors, including prevailing interest rates and the availability of alternative financing. The effect of those factors on loan prepayment rates may vary depending on the particular type of loan. Estimates of prepayment rates are made based on management's expectations of future prepayment rates, which are based, in part, on the historical rate of prepayment of ICIFC's loans, and other considerations. There can be no assurance of the accuracy of management's prepayments estimates. If actual prepayments with respect to loans serviced occur more quickly than were projected at the time such loans were sold, the carrying value of the MSRs may have to be reduced through a provision recorded to increase the MSRs valuation allowance in the period the fair value declined below the MSRs' carrying value. If actual prepayments with respect to loans occur more slowly than estimated, the carrying value of MSRs would not increase, although total income would exceed previously estimated amounts and the related valuation allowances, if any, could be unnecessary.</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part of its marketing strategy, ICIFC establishes mortgage loan purchase commitments ("Master Commitments") with sellers that, subject to certain conditions, entitle the seller to sell to ICIFC and obligate ICIFC to purchase a specified dollar amount of non-conforming mortgage loans over a period generally ranging from six months to one year. As of March 31, 1996 and December 31, 1995, ICIFC had outstanding short-term Master Commitments with 28 and 18 sellers, respectively, to purchase mortgage loans in the aggregate principal amount of $595.0 million and $241.0 million, respectively, over periods ranging from six months to one year, of which $299.4 and $35.7 million, respectively, had been purchased or committed to be purchased pursuant to rate-locks (as defined below). As of March 31, 1996 and December 31, 1995, $220.0 million and $0, respectively, of such outstanding short-term Master Commitments were outstanding with affiliates. While none of ICIFC's Master Commitment agreements as of November 20, 1995 were transferred to ICIFC pursuant to the Contribution Transaction, ICIFC entered into similar Master Commitments with its sellers subsequent to the Contribution Transaction.</w:t>
      </w:r>
    </w:p>
    <w:p>
      <w:pPr>
        <w:spacing w:after="0" w:line="39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Sellers that enter into Master Commitments with ICIFC sell mortgage loans to ICIFC by executing individual, bulk or other rate-locks (each, a "rate-lock"). Each rate-lock, in conjunction with the related Master Commitment, specifies the terms of the related sale, including the quantity and price of the mortgage loans or the formula by which the price is determined, the rate-lock type and the delivery requirements. The up-front fee paid by a seller to ICIFC to obtain a Master Commitment on a mandatory delivery basis is often refunded pro rata as the seller delivers loans pursuant to rate-locks.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RESULTS OF OPERATIONS; IMPERIAL CREDIT MORTGAGE HOLDINGS, INC.</w:t>
      </w:r>
    </w:p>
    <w:p>
      <w:pPr>
        <w:spacing w:after="0" w:line="207" w:lineRule="exact"/>
        <w:rPr>
          <w:sz w:val="20"/>
          <w:szCs w:val="20"/>
          <w:color w:val="auto"/>
        </w:rPr>
      </w:pPr>
    </w:p>
    <w:p>
      <w:pPr>
        <w:ind w:right="2319" w:firstLine="105"/>
        <w:spacing w:after="0" w:line="235" w:lineRule="auto"/>
        <w:rPr>
          <w:sz w:val="20"/>
          <w:szCs w:val="20"/>
          <w:color w:val="auto"/>
        </w:rPr>
      </w:pPr>
      <w:r>
        <w:rPr>
          <w:rFonts w:ascii="Courier New" w:cs="Courier New" w:eastAsia="Courier New" w:hAnsi="Courier New"/>
          <w:sz w:val="18"/>
          <w:szCs w:val="18"/>
          <w:color w:val="auto"/>
        </w:rPr>
        <w:t>THREE MONTHS ENDED MARCH 31, 1996 COMPARED TO THREE MONTHS ENDED MARCH 31, 1995</w:t>
      </w:r>
    </w:p>
    <w:p>
      <w:pPr>
        <w:spacing w:after="0" w:line="208"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Net income for the three months ended March 31, 1996 increased to $1.7 million as compared to $364,000 for the same period in 1995. Net income per share for the quarter ended March 31, 1996 was $0.39.</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Revenues for the three months ended March 31, 1996 increased to $13.7 million as compared to $520,000 for the same period in 1995, primarily as a result of IWLG's increase in interest income from its finance receivables and, to a lesser extent, IMH's investment securities available for sale and cash and cash equivalents. Total finance receivables increased to $196.1 million at March 31, 1996 as compared to $6.1 million at March 31, 1995 as a result of IWLG providing warehouse facilities to ICIFC subsequent to the Initial Public Offering. At March 31, 1996, ICIFC accounted for 88% of IWLG's total gross finance receivables outstanding. In addition, IMH invested a portion of the net proceeds of the Initial Public Offering in investment securities available for sale held by the Long-Term Investment Operations which did not exist prior to the Initial Public Offering. At March 31, 1996, IMH had total investment securities available for sale and cash and cash equivalents of $50.3 million as compared to none at March 31, 1995.</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Expenses for the three months ended March 31, 1996 increased to $12.0 million as compared to $184,000 for the same period in 1995 primarily as a result of (1) an increase in borrowings associated with the financing of IWLG's finance receivables, (2) an increase in the provision for loan losses and (3) the payment of fees associated with the Management Agreement. Interest expense from reverse-repurchase borrowings or borrowing from SPTL increased to $9.0 million for the three months ended March 31, 1996 as compared to $48,000 for the same period in 1995. The increase in interest expense was the result of increased borrowings to finance the growth in IMH's earning assets as discussed above. The provision for loan losses increased to $2.4 million for the three months ended March 31, 1996 as compared to $104,000 for the same period in 1995 as a result of establishing an allowance for credit losses related to the $313.8 million of mortgage loans held for investment at March 31, 1996, a portion of which underlies a CMO offering which closed in April 1996. The provision in 1995 was the result of a write-off of a customer's outstanding balance on a finance receivable. While IMH believes that it has adequately provided for any future credit losses, the Company may have to add to its loan loss allowance based upon actual loan loss experience or an increase in the Company's mortgage loans held for investment. Management fees under the Management Agreement were $426,000 for the three months ended March 31, 1996 compared to no such fees during 1995.</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Finance receivables decreased to $196.1 million at March 31, 1996 from $582.9 million at December 31, 1995 due to the sale of $314.9 million of mortgage loans held for sale at ICIFC to IMH where such loans were held for investment. This transaction reduced ICIFC's borrowings from IWLG.</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DECEMBER 31, 1995 COMPARED TO YEAR ENDED DECEMBER 31, 1994</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Net income, including the equity interest in the net income of ICIFC, increased 320% to $2.1 million in 1995 from $490,000 in 1994. The increase in net income was primarily the result of the increase in equity interest in net income of ICIFC, the increase in IWLG's finance receivables outstanding during 1995, and to a lesser extent, the purchase of an investment portfolio, Post-Contribution Transaction. Excluding the equity interest in the net income of ICIFC, net income in 1995 was $569,000 as compared to a loss of $42,000 in 1994. Net income per share for 1995 Post-Contribution Transaction was $0.07.</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Revenues in 1995 increased 405% to $4.6 million as compared to $907,000 in 1994. Of the $4.6 million in 1995 revenue, $1.6 million was attributable to the Post-Contribution Transaction entity. Such revenues primarily consisted of interest income earned on the finance receivables, investments available for sale, equipment lease payments, processing fee income and the equity interest in ICIFC. The increase in revenues was primarily due to three factors: (1) increased interest income earned on investments available for sale and a higher outstanding balance of IWLG's finance receivables, (2) increased profitability in the Conduit Operations as a result of cost savings and a focus on higher margin mortgage products and (3) increased fee income as a result of an increased number of transactions with IWLG's warehouse borrowers.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362" w:gutter="0" w:footer="0" w:header="0"/>
        </w:sectPr>
      </w:pPr>
    </w:p>
    <w:bookmarkStart w:id="36" w:name="page37"/>
    <w:bookmarkEnd w:id="36"/>
    <w:p>
      <w:pPr>
        <w:ind w:right="2099" w:firstLine="211"/>
        <w:spacing w:after="0" w:line="237" w:lineRule="auto"/>
        <w:rPr>
          <w:sz w:val="20"/>
          <w:szCs w:val="20"/>
          <w:color w:val="auto"/>
        </w:rPr>
      </w:pPr>
      <w:r>
        <w:rPr>
          <w:rFonts w:ascii="Courier New" w:cs="Courier New" w:eastAsia="Courier New" w:hAnsi="Courier New"/>
          <w:sz w:val="18"/>
          <w:szCs w:val="18"/>
          <w:color w:val="auto"/>
        </w:rPr>
        <w:t>Total interest income increased 874% to $2.9 million in 1995 as compared to $293,000 in 1994. Interest income is primarily composed of interest earned on IMH's investments and IWLG's outstanding finance receivables. The increase in interest income was the result of the Company acquiring an investment portfolio, Post-Contribution Transaction, and a substantial increase in the average outstanding balance of IWLG's finance receivables. As a result of the Initial Public Offering, the Company raised a net of $44.5 million of capital to fund the Long-Term Investment Operations and to capitalize or fund the Warehouse Lending Operations and Conduit Operations.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 the capital raised in the Initial Public Offering, the Company acquired four mortgage-backed securities at a recorded value of $17.4 million with a weighted average yield of 11.3% at December 31, 1995. The mortgage-backed securities ratings from one or more rating agencies range from investment grade ("BBB") to non-investment grade ("B") quality. The mortgage loans underlying the mortgage-backed securities are adjustable rate loans indexed either to LIBOR or to the 11th District Cost of Funds. The Company also acquired from Imperial Business Credit, Inc., a subsidiary of ICII, a subordinated interest in an equipment-lease receivable securitization with a carrying value of $8.4 million at December 31, 1995. See "Certain Transactions."</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IWLG's average outstanding finance receivables increased 866% to $30.0 million for 1995 as compared to $3.1 million for 1994, which led to a corresponding increase of 874% in interest income to $2.9 million in 1995 as compared to $293,000 in 1994. IWLG's total finance receivable balances outstanding at December 31, 1995 were $582.9 million, of which $550.3 million represented balances outstanding from ICIFC. The increase in ICIFC's balances were primarily the result of several bulk purchases from ICII and SPTL, in the amount of $173.0 million and $328.5 million, respectively, of mortgage loans. Pre-Contribution Transaction, ICIFC's mortgage loans held for sale and the related income were retained on the books of ICII. Post-Contribution Transaction, IWLG executed an agreement with ICIFC to provide warehouse lines to fund the Conduit Operations. Lastly, equity in net income of ICI Funding Corporation increased 180% to $1.5 million in 1995 as compared to $532,000 in 1994. The increase was due to factors as set forth in "Results of Operations; ICI Funding Corporation--Year Ended December 31, 1995 Compared to Year Ended December 31, 1994."</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Expenses increased to $2.4 million in 1995 as compared to $447,000 in 1994. The increase in expenses was primarily the result of increased interest on borrowings Post-Contribution Transaction and a provision for finance receivables charged to operations Pre-Contribution Transaction in 1995. The increased interest on borrowings was the result of an increase in borrowings associated with the funding of IWLG's finance receivables and IMH's investment portfolio. As discussed previously, IWLG's average outstanding finance receivables increased primarily as a result of borrowings by ICIFC in December 1995. Although interest expense increased 1,255% to $1.7 million in 1995 from $127,000 in 1994, the increase was mainly Post-Contribution Transaction. The increase in provision for finance receivables was primarily the result of management's decision in 1995 to write off the outstanding balance of a delinquent warehouse line. Approximately $388,000 of the charge-offs represents the net outstanding balance on that committed line. As part of the Contribution Transaction, these assets were retained, net of the allowance, by SPTL. The remaining provision represents a Post-Contribution Transaction general provision for loan losses. Expenses, other than interest on borrowings and provision for finance receivable increased 9.8% to $247,000 in 1995 as compared to $225,000 in 1994. Personnel expenses decreased 36.7% to $91,000 in 1995 as compared to $143,000 in 1994. Personnel expenses declined in 1995 primarily as a result of staffing reductions made in late 1994 in the Warehouse Lending Operations. The advisory fee, which became effective on November 20, 1995, was $38,000 in 1995. There was no advisory fee in 1994. See "Certain Transactions; Management Agreement."</w:t>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DECEMBER 31, 1994 COMPARED TO YEAR ENDED DECEMBER 31, 1993</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Net income in 1994 totaled $490,000, compared to $4.5 million in 1993. The year-to-year decrease resulted primarily from a decrease in the equity net income of ICIFC.</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Revenues, excluding the equity in net income of ICI Funding Corporation, for the year ended December 31, 1994 decreased 66% to $375,000 as compared to $1.1 million for 1993. The Company's equity in net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37" w:name="page38"/>
    <w:bookmarkEnd w:id="37"/>
    <w:p>
      <w:pPr>
        <w:ind w:right="2099"/>
        <w:spacing w:after="0" w:line="271" w:lineRule="auto"/>
        <w:rPr>
          <w:sz w:val="20"/>
          <w:szCs w:val="20"/>
          <w:color w:val="auto"/>
        </w:rPr>
      </w:pPr>
      <w:r>
        <w:rPr>
          <w:rFonts w:ascii="Courier New" w:cs="Courier New" w:eastAsia="Courier New" w:hAnsi="Courier New"/>
          <w:sz w:val="16"/>
          <w:szCs w:val="16"/>
          <w:color w:val="auto"/>
        </w:rPr>
        <w:t>of ICI Funding Corporation for the year ended December 31, 1994 decreased to $532,000 from $4.2 million in 1993 due to those factors set forth below in "Results of Operations--ICI Funding Corporation--Year Ended December 31, 1994 Compared to Year Ended December 31, 1993." The decrease in such revenues was the result of an industry-wide decline in mortgage loan originations, a reduced number of transactions, and a reduction in average outstanding balances and the number of committed lines of credit outstanding.</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Expenses for the year ended December 31, 1994 decreased 16% to $447,000 as</w:t>
      </w:r>
    </w:p>
    <w:p>
      <w:pPr>
        <w:spacing w:after="0" w:line="238" w:lineRule="auto"/>
        <w:rPr>
          <w:sz w:val="20"/>
          <w:szCs w:val="20"/>
          <w:color w:val="auto"/>
        </w:rPr>
      </w:pPr>
      <w:r>
        <w:rPr>
          <w:rFonts w:ascii="Courier New" w:cs="Courier New" w:eastAsia="Courier New" w:hAnsi="Courier New"/>
          <w:sz w:val="18"/>
          <w:szCs w:val="18"/>
          <w:color w:val="auto"/>
        </w:rPr>
        <w:t>compared to $531,000 for 1993. Total expenses for 1994 include a $95,000</w:t>
      </w:r>
    </w:p>
    <w:p>
      <w:pPr>
        <w:spacing w:after="0"/>
        <w:rPr>
          <w:sz w:val="20"/>
          <w:szCs w:val="20"/>
          <w:color w:val="auto"/>
        </w:rPr>
      </w:pPr>
      <w:r>
        <w:rPr>
          <w:rFonts w:ascii="Courier New" w:cs="Courier New" w:eastAsia="Courier New" w:hAnsi="Courier New"/>
          <w:sz w:val="18"/>
          <w:szCs w:val="18"/>
          <w:color w:val="auto"/>
        </w:rPr>
        <w:t>provision for loan losses related to a warehouse lending agreement which had</w:t>
      </w:r>
    </w:p>
    <w:p>
      <w:pPr>
        <w:spacing w:after="0" w:line="237" w:lineRule="auto"/>
        <w:rPr>
          <w:sz w:val="20"/>
          <w:szCs w:val="20"/>
          <w:color w:val="auto"/>
        </w:rPr>
      </w:pPr>
      <w:r>
        <w:rPr>
          <w:rFonts w:ascii="Courier New" w:cs="Courier New" w:eastAsia="Courier New" w:hAnsi="Courier New"/>
          <w:sz w:val="18"/>
          <w:szCs w:val="18"/>
          <w:color w:val="auto"/>
        </w:rPr>
        <w:t>been canceled, as discussed above. Personnel expenses increased 30% to</w:t>
      </w:r>
    </w:p>
    <w:p>
      <w:pPr>
        <w:spacing w:after="0" w:line="238" w:lineRule="auto"/>
        <w:rPr>
          <w:sz w:val="20"/>
          <w:szCs w:val="20"/>
          <w:color w:val="auto"/>
        </w:rPr>
      </w:pPr>
      <w:r>
        <w:rPr>
          <w:rFonts w:ascii="Courier New" w:cs="Courier New" w:eastAsia="Courier New" w:hAnsi="Courier New"/>
          <w:sz w:val="18"/>
          <w:szCs w:val="18"/>
          <w:color w:val="auto"/>
        </w:rPr>
        <w:t>$143,000 for the year ended December 31, 1994 as compared to $110,000 for</w:t>
      </w:r>
    </w:p>
    <w:p>
      <w:pPr>
        <w:spacing w:after="0"/>
        <w:rPr>
          <w:sz w:val="20"/>
          <w:szCs w:val="20"/>
          <w:color w:val="auto"/>
        </w:rPr>
      </w:pPr>
      <w:r>
        <w:rPr>
          <w:rFonts w:ascii="Courier New" w:cs="Courier New" w:eastAsia="Courier New" w:hAnsi="Courier New"/>
          <w:sz w:val="18"/>
          <w:szCs w:val="18"/>
          <w:color w:val="auto"/>
        </w:rPr>
        <w:t>1993. The increase in personnel expenses was the result of additional</w:t>
      </w:r>
    </w:p>
    <w:p>
      <w:pPr>
        <w:spacing w:after="0" w:line="237" w:lineRule="auto"/>
        <w:rPr>
          <w:sz w:val="20"/>
          <w:szCs w:val="20"/>
          <w:color w:val="auto"/>
        </w:rPr>
      </w:pPr>
      <w:r>
        <w:rPr>
          <w:rFonts w:ascii="Courier New" w:cs="Courier New" w:eastAsia="Courier New" w:hAnsi="Courier New"/>
          <w:sz w:val="18"/>
          <w:szCs w:val="18"/>
          <w:color w:val="auto"/>
        </w:rPr>
        <w:t>personnel hired to process the growth in finance receivable transactions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Staffing reductions were made late in 1994 and were not fully reflected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1994 personnel expense levels.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ICI FUNDING CORPORATION</w:t>
      </w:r>
    </w:p>
    <w:p>
      <w:pPr>
        <w:spacing w:after="0" w:line="207" w:lineRule="exact"/>
        <w:rPr>
          <w:sz w:val="20"/>
          <w:szCs w:val="20"/>
          <w:color w:val="auto"/>
        </w:rPr>
      </w:pPr>
    </w:p>
    <w:p>
      <w:pPr>
        <w:ind w:right="2319" w:firstLine="105"/>
        <w:spacing w:after="0" w:line="235" w:lineRule="auto"/>
        <w:rPr>
          <w:sz w:val="20"/>
          <w:szCs w:val="20"/>
          <w:color w:val="auto"/>
        </w:rPr>
      </w:pPr>
      <w:r>
        <w:rPr>
          <w:rFonts w:ascii="Courier New" w:cs="Courier New" w:eastAsia="Courier New" w:hAnsi="Courier New"/>
          <w:sz w:val="18"/>
          <w:szCs w:val="18"/>
          <w:color w:val="auto"/>
        </w:rPr>
        <w:t>THREE MONTHS ENDED MARCH 31, 1996 COMPARED TO THREE MONTHS ENDED MARCH 31, 1995</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Net income for ICIFC for the three months ended March 31, 1996 increased 34% to $548,000 from $408,000 for the same period in 1995.</w:t>
      </w:r>
    </w:p>
    <w:p>
      <w:pPr>
        <w:spacing w:after="0" w:line="20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Revenues for the three months ended March 31, 1996 increased to $13.8 million as compared to $2.4 million for the same period in 1995, as a result of an increase in interest income from ICIFC's mortgage loans held for sale, and to a lesser extent, an increase in gain on sale of loans, offset by a reduction in loan servicing income. The increase in interest income for the three months ended March 31, 1996 was the result of ICIFC retaining more mortgage loans held for sale during the period. During the three months ended March 31, 1995, which was prior to the Contribution Transaction, all of ICIFC's mortgage loans held for sale were retained on the books of ICII and all income derived from these loans were retained by ICII.</w:t>
      </w:r>
    </w:p>
    <w:p>
      <w:pPr>
        <w:spacing w:after="0" w:line="386" w:lineRule="exact"/>
        <w:rPr>
          <w:sz w:val="20"/>
          <w:szCs w:val="20"/>
          <w:color w:val="auto"/>
        </w:rPr>
      </w:pPr>
    </w:p>
    <w:p>
      <w:pPr>
        <w:ind w:right="2199" w:firstLine="211"/>
        <w:spacing w:after="0" w:line="238" w:lineRule="auto"/>
        <w:rPr>
          <w:sz w:val="20"/>
          <w:szCs w:val="20"/>
          <w:color w:val="auto"/>
        </w:rPr>
      </w:pPr>
      <w:r>
        <w:rPr>
          <w:rFonts w:ascii="Courier New" w:cs="Courier New" w:eastAsia="Courier New" w:hAnsi="Courier New"/>
          <w:sz w:val="18"/>
          <w:szCs w:val="18"/>
          <w:color w:val="auto"/>
        </w:rPr>
        <w:t>Gain on sale of loans increased to $2.6 million for the three months ended March 31, 1996 as compared to $730,000 for the same period in 1995 as the result of a $175.4 million fixed rate non-conforming mortgage loan securitization and a $65.7 million whole loan sale during the three months ended March 31, 1996. During the three months ended March 31, 1995, gain on sale of conforming mortgage loans generated less income per loan than ICIFC earned on the sale of its non-conforming loans during the first quarter of 1996. Loan servicing income decreased to $32,000 for the three months ended March 31, 1996 as compared to $1.3 million for the same period in 1995 as a result of ICII retaining all mortgage servicing rights as part of the Contribution Transaction. Servicing income for the three months ended March 31, 1996 relates to loan servicing rights generated only during the period subsequent to November 20, 1995.</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Expenses for the three months ended March 31, 1996 increased to $12.8 million as compared to $1.7 million for the same period in 1995 primarily as a result of an increase in borrowings associated with the financing of ICIFC's mortgage loans held for sale and, to a lesser extent, increases in the provision for loan losses and in personnel expenses, offset by an overall reduction in general and administrative expenses. As noted above, prior to the Contribution Transaction, ICIFC had no mortgage loans held for sale. Subsequent to the Contribution Transaction, ICIFC entered into a warehouse arrangement with IWLG to provide mortgage loan financing during the ICIFC process of accumulating loans for sale and securitization. As a result of this facility, ICIFC incurred $11.2 million in interest expense to finance its mortgage loan acquisitions during the three months ended March 31, 1996. The increase in the provision for loan losses to $400,000 for the three months ended March 31, 1996, compared with no such provision in 1995, was the result of establishing an allowance for estimated losses related to the potential repurchase of previously sold loans due to breaches of standard representations and warranties. Personnel expenses increased 61% to $835,000 for the three months ended March 31, 1996 as compared to $518,000 for the same period in 1995 primarily as a result of ICIFC entering into employment agreements with senior management that became effective on November 20, 1995. Prior to the Contribution Transaction, ICIFC was allocated an apportionment of these individual salaries by ICII. However, ICII retained a substantial portion of the costs associated with the senior management of the Company prior to the Contribution Transaction.</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YEAR ENDED DECEMBER 31, 1995 COMPARED TO YEAR ENDED DECEMBER 31, 1994</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Net income for the year ended December 31, 1995 increased 180% to $1.5 million as compared to $537,000 for the same period in 1994. The increase is primarily due to increased profitability on the sale of mortgage loans and reduced personnel and operating expenses. Overall, profitability was lower in 1994 as a result of lower profits on the sale of servicing-retained fixed rate loans and a decrease in the principal amount of mortgage loans sold servicing-released. Gain on sale of loans consists primarily of gains recorded upon the sale of mortgage loans, net of associated expenses, and to a lesser extent, fees received for commitments to fund mortgage loans. Prior to the Contribution Transaction, financial information presented herein does not reflect the net interest income from the mortgage loans held for sale during accumulation and subsequent sale or securitization as this income was retained by ICII, which provided the funding for such loans. Post-Contribution Transaction for 1995, ICIFC earned interest income on mortgage loans held for sale.</w:t>
      </w:r>
    </w:p>
    <w:p>
      <w:pPr>
        <w:spacing w:after="0" w:line="208"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Revenues in 1995 increased 3.7% to $10.9 million as compared to $10.5 million in 1994. While total revenues did not materially change from year to year, mortgage loan acquisitions declined 35% to $1.1 billion in 1995 as compared to $1.7 billion in 1994. Total revenues remained consistent in 1995 as compared to 1994 due to increased profitability on the sale of loans, interest earned on the loans while being held for sale or securitization and loan servicing income, partially offset by a reduction in the amount of servicing sold and the related gain on the sale of servicing rights.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Gain on sale of loans increased 80% to $4.1 million in 1995 as compared to $2.3 million in 1994. The increased profitability on the sale of loans for the year ended December 31, 1995 was due to several factors. As interest rates stabilized, the calculated values of ICIFC's acquired servicing rights increased, resulting in an increased amount of servicing value capitalized, with a corresponding increase in the profitability of loan sales. Additionally, the overall interest rate environment in 1995 was less volatile than in 1994, which did not expose ICIFC to the same degree of losses as the operations experienced in 1994.</w:t>
      </w:r>
    </w:p>
    <w:p>
      <w:pPr>
        <w:spacing w:after="0" w:line="21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ICIFC sold a larger percentage of its acquired loans into mortgage-backed securities in 1995 as compared to 1994. During 1995, ICIFC, Pre-Contribution Transaction, sold its LIBOR-based adjustable and fixed rate mortgage loans into REMIC securities that generated gains in excess of what could have been earned on whole loan sales. There were no such securitization gains in 1994. The securitization and sale of ICIFC's LIBOR-based adjustable and fixed rate loans in 1995 resulted in the creation of excess servicing assets that were purchased, at fair value concurrent with the sale, from ICIFC by ICII, thereby reducing intercompany borrowings from ICII and any tax-related timing differences. The securitization gains resulted in part from the allocation of amounts calculated using the present value of the expected future revenue using prepayment assumptions, and estimated losses at a market discount rate. The securitization gains created tax liabilities at the time of sale based on taxable income (the tax liability is not necessarily equal to the reported gain) equal to the present value gains calculated as discussed above. This securitization method requires cash to finance the related tax liability since the income is received over the life of the loans and the tax is paid in the current year. ICIFC generated no gain on sale of loans accrued during the Post-Contribution Transaction period through December 31, 1995.</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Loan servicing income in 1995 increased 28% to $5.2 million as compared to $4.0 million in 1994, primarily due to an increase in the average balance of mortgage loans serviced during 1995, as compared to 1994. However, as part of the Contribution Transaction, ICII retained all the assets of ICIFC except for certain assets as described in the Contribution Agreement. ICII retained all the MSRs; therefore, future loan servicing income will be substantially less than in past periods until ICIFC builds its own loan servicing portfolio. ICIFC generated no servicing income during the Post-Contribution Transaction period through December 31, 1995.</w:t>
      </w:r>
    </w:p>
    <w:p>
      <w:pPr>
        <w:spacing w:after="0" w:line="21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Gain on sale of servicing rights decreased 91% to $370,000 in 1995 as compared to $4.2 million in 1994. The total principal balance of loans underlying servicing sold was $76.3 million for 1995 as compared to $619.8 million for 1994. The decrease in profitability on the sale of servicing rights was primarily the result of a higher percentage of the mortgage loans serviced having capitalized MSRs for 1995 as compared to 1994. Historically, the Company's incentive to sell mortgage servicing rights has been based on cash flow and income purposes.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0" w:gutter="0" w:footer="0" w:header="0"/>
        </w:sectPr>
      </w:pPr>
    </w:p>
    <w:bookmarkStart w:id="39" w:name="page40"/>
    <w:bookmarkEnd w:id="39"/>
    <w:p>
      <w:pPr>
        <w:ind w:right="2099"/>
        <w:spacing w:after="0" w:line="237" w:lineRule="auto"/>
        <w:rPr>
          <w:sz w:val="20"/>
          <w:szCs w:val="20"/>
          <w:color w:val="auto"/>
        </w:rPr>
      </w:pPr>
      <w:r>
        <w:rPr>
          <w:rFonts w:ascii="Courier New" w:cs="Courier New" w:eastAsia="Courier New" w:hAnsi="Courier New"/>
          <w:sz w:val="18"/>
          <w:szCs w:val="18"/>
          <w:color w:val="auto"/>
        </w:rPr>
        <w:t>Gain on the sale of servicing rights consists of the total sales price of the bulk sale of servicing rights, net of related MSRs. The decision to buy or sell servicing rights is based upon management's assessment of the market for servicing rights and ICIFC's current and future cash flow and income objectives. ICIFC generated no gain on sale of servicing rights for the Post-Contribution Transaction through December 31, 1995.</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Total expenses decreased 13% in 1995 to $8.3 million as compared to $9.6 million in 1994. This decrease was primarily due to a decrease in personnel and operational expenses. Expenses for 1995 decreased primarily as a result of significant reductions in ICIFC's mortgage loan production and administrative staff and related reductions in personnel and general and administrative expenses, offset by $1.3 million of interest expenses on borrowings from IWLG. Pre-Contribution Transaction, all net interest income was retained by ICII. However, Post-Contribution Transaction, ICIFC financed its mortgage loan acquisitions through IWLG and therefore earned and paid any interest income or interest expense associated with these borrowings, respectively. Total interest on borrowings from IWLG was $1.3 million or 16% of the total expenses for 1995. Excluding this item, total expenses decreased 27% to $7.0 million in 1995 as compared to $9.6 million 1994. ICIFC reduced personnel expenses by 46% to $1.6 million in 1995 as compared to $3.0 million in 1994. ICIFC attained this reduction primarily by reducing staffing by 60% from December 31, 1994. However, ICIFC continued to experience increased unit acquisition costs as a result of lower loan acquisition volumes during the first half of 1995 until staffing could be reduced to match current acquisitions. ICIFC expects that personnel expenses should increase in 1996 as a percentage of revenue due to amounts payable under the employment agreements that were in effect on the date of the Initial Public Offering and the hiring of additional support staff.</w:t>
      </w:r>
    </w:p>
    <w:p>
      <w:pPr>
        <w:spacing w:after="0" w:line="211"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Amortization of MSRs increased to $2.9 million in 1995 as compared to $2.1 million in 1994. The increase was primarily due to an increase in the average outstanding balance of the mortgage servicing portfolio.</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Occupancy expense decreased 49% to $150,000 in 1995 as compared to $296,000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1994. The decrease in occupancy expense was primarily the result of the</w:t>
      </w:r>
    </w:p>
    <w:p>
      <w:pPr>
        <w:spacing w:after="0" w:line="238" w:lineRule="auto"/>
        <w:rPr>
          <w:sz w:val="20"/>
          <w:szCs w:val="20"/>
          <w:color w:val="auto"/>
        </w:rPr>
      </w:pPr>
      <w:r>
        <w:rPr>
          <w:rFonts w:ascii="Courier New" w:cs="Courier New" w:eastAsia="Courier New" w:hAnsi="Courier New"/>
          <w:sz w:val="18"/>
          <w:szCs w:val="18"/>
          <w:color w:val="auto"/>
        </w:rPr>
        <w:t>reallocation of ICII's corporate personnel to occupy the unused space after</w:t>
      </w:r>
    </w:p>
    <w:p>
      <w:pPr>
        <w:spacing w:after="0"/>
        <w:rPr>
          <w:sz w:val="20"/>
          <w:szCs w:val="20"/>
          <w:color w:val="auto"/>
        </w:rPr>
      </w:pPr>
      <w:r>
        <w:rPr>
          <w:rFonts w:ascii="Courier New" w:cs="Courier New" w:eastAsia="Courier New" w:hAnsi="Courier New"/>
          <w:sz w:val="18"/>
          <w:szCs w:val="18"/>
          <w:color w:val="auto"/>
        </w:rPr>
        <w:t>the downsizing of ICIFC's operations in 1994 and 1995. General and</w:t>
      </w:r>
    </w:p>
    <w:p>
      <w:pPr>
        <w:spacing w:after="0" w:line="237" w:lineRule="auto"/>
        <w:rPr>
          <w:sz w:val="20"/>
          <w:szCs w:val="20"/>
          <w:color w:val="auto"/>
        </w:rPr>
      </w:pPr>
      <w:r>
        <w:rPr>
          <w:rFonts w:ascii="Courier New" w:cs="Courier New" w:eastAsia="Courier New" w:hAnsi="Courier New"/>
          <w:sz w:val="18"/>
          <w:szCs w:val="18"/>
          <w:color w:val="auto"/>
        </w:rPr>
        <w:t>administrative expenses, which include professional services, telephone and</w:t>
      </w:r>
    </w:p>
    <w:p>
      <w:pPr>
        <w:spacing w:after="0" w:line="238" w:lineRule="auto"/>
        <w:rPr>
          <w:sz w:val="20"/>
          <w:szCs w:val="20"/>
          <w:color w:val="auto"/>
        </w:rPr>
      </w:pPr>
      <w:r>
        <w:rPr>
          <w:rFonts w:ascii="Courier New" w:cs="Courier New" w:eastAsia="Courier New" w:hAnsi="Courier New"/>
          <w:sz w:val="18"/>
          <w:szCs w:val="18"/>
          <w:color w:val="auto"/>
        </w:rPr>
        <w:t>other communications, decreased 37% to $1.8 million in 1995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 million in 1994. The decrease was the result of reduced loan acquisition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volume and reduced levels of ICIFC's personnel and related expenses. No</w:t>
      </w:r>
    </w:p>
    <w:p>
      <w:pPr>
        <w:spacing w:after="0" w:line="238" w:lineRule="auto"/>
        <w:rPr>
          <w:sz w:val="20"/>
          <w:szCs w:val="20"/>
          <w:color w:val="auto"/>
        </w:rPr>
      </w:pPr>
      <w:r>
        <w:rPr>
          <w:rFonts w:ascii="Courier New" w:cs="Courier New" w:eastAsia="Courier New" w:hAnsi="Courier New"/>
          <w:sz w:val="18"/>
          <w:szCs w:val="18"/>
          <w:color w:val="auto"/>
        </w:rPr>
        <w:t>provision for loan losses was taken in 1995 compared to a $655,000 provision</w:t>
      </w:r>
    </w:p>
    <w:p>
      <w:pPr>
        <w:spacing w:after="0"/>
        <w:rPr>
          <w:sz w:val="20"/>
          <w:szCs w:val="20"/>
          <w:color w:val="auto"/>
        </w:rPr>
      </w:pPr>
      <w:r>
        <w:rPr>
          <w:rFonts w:ascii="Courier New" w:cs="Courier New" w:eastAsia="Courier New" w:hAnsi="Courier New"/>
          <w:sz w:val="18"/>
          <w:szCs w:val="18"/>
          <w:color w:val="auto"/>
        </w:rPr>
        <w:t>taken in 1994. The provision in 1994 was the result of a default on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unsecured loan by one of ICIFC's correspondents. Management does not intend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make unsecured loans to its correspondents in the future.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 ENDED DECEMBER 31, 1994 COMPARED TO YEAR ENDED DECEMBER 31, 1993</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Net income in 1994 decreased 87% to $537,000 as compared to $4.2 million in 1993. The decrease in profitability was primarily due to increased general and administrative, occupancy, and personnel expenses resulting from the expansion of ICII's mortgage conduit operations in 1993. Revenues for the year ended December 31, 1994 decreased 16% to $10.5 million as compared to $12.6 million for 1993. Gain on sale of loans decreased 61% to $2.3 million in 1994 as compared to $5.9 million in 1993. The decrease was primarily the result of a lower profitability on the sale of fixed rate loans sold servicing retained and a decrease in the principal amount of mortgage loans sold servicing released during 1994. Loan servicing income in 1994 increased 194% to $4.0 million as compared to $1.4 million in 1993. The increase in loan servicing income was primarily due to a substantially higher average balance of loans serviced. The servicing portfolio increased 97% to $1.9 billion at December 31, 1994 from $950.3 million at December 31, 1993. During 1994 and 1993, ICII's mortgage conduit operations sold MSRs relating to $619.8 million and $701.4 million principal amount of loans, respectively, resulting in pre-tax gains of $4.2 million and $5.3 million, respectively. As interest rates increased and prepayment rates decreased in 1994, the market value of ICII's mortgage conduit operations' servicing portfolio increased, resulting in higher sales prices and greater gains on sale of servicing.</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0" w:name="page41"/>
    <w:bookmarkEnd w:id="40"/>
    <w:p>
      <w:pPr>
        <w:ind w:left="220"/>
        <w:spacing w:after="0"/>
        <w:rPr>
          <w:sz w:val="20"/>
          <w:szCs w:val="20"/>
          <w:color w:val="auto"/>
        </w:rPr>
      </w:pPr>
      <w:r>
        <w:rPr>
          <w:rFonts w:ascii="Courier New" w:cs="Courier New" w:eastAsia="Courier New" w:hAnsi="Courier New"/>
          <w:sz w:val="18"/>
          <w:szCs w:val="18"/>
          <w:color w:val="auto"/>
        </w:rPr>
        <w:t>Expenses in 1994 increased 82% to $9.6 million from $5.3 million in 1993.</w:t>
      </w:r>
    </w:p>
    <w:p>
      <w:pPr>
        <w:spacing w:after="0" w:line="238" w:lineRule="auto"/>
        <w:rPr>
          <w:sz w:val="20"/>
          <w:szCs w:val="20"/>
          <w:color w:val="auto"/>
        </w:rPr>
      </w:pPr>
      <w:r>
        <w:rPr>
          <w:rFonts w:ascii="Courier New" w:cs="Courier New" w:eastAsia="Courier New" w:hAnsi="Courier New"/>
          <w:sz w:val="18"/>
          <w:szCs w:val="18"/>
          <w:color w:val="auto"/>
        </w:rPr>
        <w:t>The increase in expenses was primarily due to increased levels of staffing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first half of 1994 as a result of the expansion of ICII's mortgage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conduit operations' activities in 1993. Personnel expenses increased 17%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million in 1994 as compared to $2.5 million in 1993. Amortization of MSRs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350% to $2.1 million in 1994 as compared to $459,000 in 1993. The</w:t>
      </w:r>
    </w:p>
    <w:p>
      <w:pPr>
        <w:spacing w:after="0" w:line="238" w:lineRule="auto"/>
        <w:rPr>
          <w:sz w:val="20"/>
          <w:szCs w:val="20"/>
          <w:color w:val="auto"/>
        </w:rPr>
      </w:pPr>
      <w:r>
        <w:rPr>
          <w:rFonts w:ascii="Courier New" w:cs="Courier New" w:eastAsia="Courier New" w:hAnsi="Courier New"/>
          <w:sz w:val="18"/>
          <w:szCs w:val="18"/>
          <w:color w:val="auto"/>
        </w:rPr>
        <w:t>increase was primarily due to a substantially higher average outstanding</w:t>
      </w:r>
    </w:p>
    <w:p>
      <w:pPr>
        <w:spacing w:after="0"/>
        <w:rPr>
          <w:sz w:val="20"/>
          <w:szCs w:val="20"/>
          <w:color w:val="auto"/>
        </w:rPr>
      </w:pPr>
      <w:r>
        <w:rPr>
          <w:rFonts w:ascii="Courier New" w:cs="Courier New" w:eastAsia="Courier New" w:hAnsi="Courier New"/>
          <w:sz w:val="18"/>
          <w:szCs w:val="18"/>
          <w:color w:val="auto"/>
        </w:rPr>
        <w:t>balance of capitalized MSRs and an increase in amortization as a result of</w:t>
      </w:r>
    </w:p>
    <w:p>
      <w:pPr>
        <w:spacing w:after="0" w:line="237" w:lineRule="auto"/>
        <w:rPr>
          <w:sz w:val="20"/>
          <w:szCs w:val="20"/>
          <w:color w:val="auto"/>
        </w:rPr>
      </w:pPr>
      <w:r>
        <w:rPr>
          <w:rFonts w:ascii="Courier New" w:cs="Courier New" w:eastAsia="Courier New" w:hAnsi="Courier New"/>
          <w:sz w:val="18"/>
          <w:szCs w:val="18"/>
          <w:color w:val="auto"/>
        </w:rPr>
        <w:t>mortgage loan prepayments. Amortization due to prepayments of mortgage loans</w:t>
      </w:r>
    </w:p>
    <w:p>
      <w:pPr>
        <w:spacing w:after="0" w:line="238" w:lineRule="auto"/>
        <w:rPr>
          <w:sz w:val="20"/>
          <w:szCs w:val="20"/>
          <w:color w:val="auto"/>
        </w:rPr>
      </w:pPr>
      <w:r>
        <w:rPr>
          <w:rFonts w:ascii="Courier New" w:cs="Courier New" w:eastAsia="Courier New" w:hAnsi="Courier New"/>
          <w:sz w:val="18"/>
          <w:szCs w:val="18"/>
          <w:color w:val="auto"/>
        </w:rPr>
        <w:t>increased to $313,000 in 1994 as compared to $183,000 in 1993. Occupancy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increased 53% to $296,000 in 1994 as compared to $193,000 in 1993.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reflects the costs associated with ICII's mortgage conduit</w:t>
      </w:r>
    </w:p>
    <w:p>
      <w:pPr>
        <w:spacing w:after="0" w:line="238" w:lineRule="auto"/>
        <w:rPr>
          <w:sz w:val="20"/>
          <w:szCs w:val="20"/>
          <w:color w:val="auto"/>
        </w:rPr>
      </w:pPr>
      <w:r>
        <w:rPr>
          <w:rFonts w:ascii="Courier New" w:cs="Courier New" w:eastAsia="Courier New" w:hAnsi="Courier New"/>
          <w:sz w:val="18"/>
          <w:szCs w:val="18"/>
          <w:color w:val="auto"/>
        </w:rPr>
        <w:t>operations' expanding of its office late in 1993. Other general and</w:t>
      </w:r>
    </w:p>
    <w:p>
      <w:pPr>
        <w:spacing w:after="0"/>
        <w:rPr>
          <w:sz w:val="20"/>
          <w:szCs w:val="20"/>
          <w:color w:val="auto"/>
        </w:rPr>
      </w:pPr>
      <w:r>
        <w:rPr>
          <w:rFonts w:ascii="Courier New" w:cs="Courier New" w:eastAsia="Courier New" w:hAnsi="Courier New"/>
          <w:sz w:val="18"/>
          <w:szCs w:val="18"/>
          <w:color w:val="auto"/>
        </w:rPr>
        <w:t>administrative expenses, including professional services and telephone and</w:t>
      </w:r>
    </w:p>
    <w:p>
      <w:pPr>
        <w:spacing w:after="0" w:line="237" w:lineRule="auto"/>
        <w:rPr>
          <w:sz w:val="20"/>
          <w:szCs w:val="20"/>
          <w:color w:val="auto"/>
        </w:rPr>
      </w:pPr>
      <w:r>
        <w:rPr>
          <w:rFonts w:ascii="Courier New" w:cs="Courier New" w:eastAsia="Courier New" w:hAnsi="Courier New"/>
          <w:sz w:val="18"/>
          <w:szCs w:val="18"/>
          <w:color w:val="auto"/>
        </w:rPr>
        <w:t>other communications, increased 71% to $2.9 million in 1994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million in 1993. The increase was the result of expenses associated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expansion of the mortgage conduit operations and installation of new data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processing systems. During the latter part of 1994, as interest 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ICII's mortgage conduit operations implemented cost containment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enhancement programs to offset the pressures of reduced loan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on earnings. In order to control costs, the staffing was reduced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57% at December 31, 1994 as compared to the level at December 31, 1993.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for loan losses increased to $655,000 in 1994 as compared to</w:t>
      </w:r>
    </w:p>
    <w:p>
      <w:pPr>
        <w:spacing w:after="0" w:line="238" w:lineRule="auto"/>
        <w:rPr>
          <w:sz w:val="20"/>
          <w:szCs w:val="20"/>
          <w:color w:val="auto"/>
        </w:rPr>
      </w:pPr>
      <w:r>
        <w:rPr>
          <w:rFonts w:ascii="Courier New" w:cs="Courier New" w:eastAsia="Courier New" w:hAnsi="Courier New"/>
          <w:sz w:val="18"/>
          <w:szCs w:val="18"/>
          <w:color w:val="auto"/>
        </w:rPr>
        <w:t>$175,000 in 1993. The increase in the provision in 1994 was the result of a</w:t>
      </w:r>
    </w:p>
    <w:p>
      <w:pPr>
        <w:spacing w:after="0"/>
        <w:rPr>
          <w:sz w:val="20"/>
          <w:szCs w:val="20"/>
          <w:color w:val="auto"/>
        </w:rPr>
      </w:pPr>
      <w:r>
        <w:rPr>
          <w:rFonts w:ascii="Courier New" w:cs="Courier New" w:eastAsia="Courier New" w:hAnsi="Courier New"/>
          <w:sz w:val="18"/>
          <w:szCs w:val="18"/>
          <w:color w:val="auto"/>
        </w:rPr>
        <w:t>write down of an unsecured loan made to one of ICII's mortgage conduit</w:t>
      </w:r>
    </w:p>
    <w:p>
      <w:pPr>
        <w:spacing w:after="0" w:line="237" w:lineRule="auto"/>
        <w:rPr>
          <w:sz w:val="20"/>
          <w:szCs w:val="20"/>
          <w:color w:val="auto"/>
        </w:rPr>
      </w:pPr>
      <w:r>
        <w:rPr>
          <w:rFonts w:ascii="Courier New" w:cs="Courier New" w:eastAsia="Courier New" w:hAnsi="Courier New"/>
          <w:sz w:val="18"/>
          <w:szCs w:val="18"/>
          <w:color w:val="auto"/>
        </w:rPr>
        <w:t>operations' correspondents as mentioned above.</w:t>
      </w:r>
    </w:p>
    <w:p>
      <w:pPr>
        <w:spacing w:after="0" w:line="207"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The Financial Accounting Standards Board issued Statement No. 109, "Accounting for Income Taxes" ("SFAS 109"), which was effective for fiscal years beginning December 15, 1992 was adopted by ICII's mortgage conduit operations on January 1, 1993 on a prospective basis. Implementation of SFAS 109 had no material impact on ICII's mortgage conduit operations' financial position or results of operations for the year ended December 31, 1993.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principal liquidity requirements result from the need to fund the acquisition of mortgage loans held for sale by ICIFC, the long-term investment in mortgage loans by IMH, and short-term loans by IWLG. Pre-Contribution Transaction, ICIFC was funded by ICII through committed reverse repurchase agreements and capital contributions. Historically, SPTL's warehouse lending operations was funded by SPTL through deposits, other borrowings and equity. However, Post-Contribution Transaction, the Long Term Investment Operations, the Conduit Operations and the Warehouse Lending Operations are funded by reverse repurchase agreements, the sale of mortgage securities and the issuance of CMOs and the proceeds from the issuance of common stock.</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the three months ended March 31, 1996 and 1995 and the years ended December 31, 1995, 1994 and 1993, net cash provided by (used in) operating activities was $4.5 million, $62,000, $(72,000), $58,000, and $313,000, respectively. Net cash for the three months ended March 31, 1995 and for fiscal 1995, 1994 and 1993 was negatively affected by lower net income from reduced demand for SPTL's warehouse lending facilities resulting from adverse market conditions in the mortgage banking industry. Net cash for 1993 was positively affected by improved market conditions in the mortgage banking industry. For the three months ended March 31, 1996, cash provided by operating activities was positively affected by an increase in payables as compared to payables outstanding as of December 31, 1995.</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cash provided by (used in) investing activities for the three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March 31, 1996 and 1995 and the years ended December 31, 1995, 1994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 was $49.6 million, $(3.2) million, $(629.1) million, $5.0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$887,000, respectively. For the three months ended March 31, 1996 and 1995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1995, fundings of finance receivables exceeded prepayment rates of</w:t>
      </w:r>
    </w:p>
    <w:p>
      <w:pPr>
        <w:spacing w:after="0" w:line="238" w:lineRule="auto"/>
        <w:rPr>
          <w:sz w:val="20"/>
          <w:szCs w:val="20"/>
          <w:color w:val="auto"/>
        </w:rPr>
      </w:pPr>
      <w:r>
        <w:rPr>
          <w:rFonts w:ascii="Courier New" w:cs="Courier New" w:eastAsia="Courier New" w:hAnsi="Courier New"/>
          <w:sz w:val="18"/>
          <w:szCs w:val="18"/>
          <w:color w:val="auto"/>
        </w:rPr>
        <w:t>such receivables primarily due to higher finance receivables from greater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mortgage loan acquisition volumes Post-Contribution Transaction. For 1994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 net cash was negatively affected by higher repayments of finance</w:t>
      </w:r>
    </w:p>
    <w:p>
      <w:pPr>
        <w:spacing w:after="0" w:line="238" w:lineRule="auto"/>
        <w:rPr>
          <w:sz w:val="20"/>
          <w:szCs w:val="20"/>
          <w:color w:val="auto"/>
        </w:rPr>
      </w:pPr>
      <w:r>
        <w:rPr>
          <w:rFonts w:ascii="Courier New" w:cs="Courier New" w:eastAsia="Courier New" w:hAnsi="Courier New"/>
          <w:sz w:val="18"/>
          <w:szCs w:val="18"/>
          <w:color w:val="auto"/>
        </w:rPr>
        <w:t>receivables than mortgage loans funded.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1" w:name="page42"/>
    <w:bookmarkEnd w:id="41"/>
    <w:p>
      <w:pPr>
        <w:ind w:right="2099" w:firstLine="211"/>
        <w:spacing w:after="0" w:line="270" w:lineRule="auto"/>
        <w:rPr>
          <w:sz w:val="20"/>
          <w:szCs w:val="20"/>
          <w:color w:val="auto"/>
        </w:rPr>
      </w:pPr>
      <w:r>
        <w:rPr>
          <w:rFonts w:ascii="Courier New" w:cs="Courier New" w:eastAsia="Courier New" w:hAnsi="Courier New"/>
          <w:sz w:val="16"/>
          <w:szCs w:val="16"/>
          <w:color w:val="auto"/>
        </w:rPr>
        <w:t>For the three months ended March 31, 1996 and 1995 and the year ended December 31, 1995, 1994 and 1993, net cash provided by (used in) financing activities was $(39.3) million, $3.1 million, $631.5 million, $(5.1) million and $(1.2) million, respectively. These net cash figures were affected by the Company increasing investment in finance receivables and mortgage loan acquisitions, thereby requiring it to raise additional cash to finance such receivables and acquisitions. As a result of such factors, borrowings to fund mortgage loan acquisitions fluctuated accordingly. Post-Contribution Transaction, such borrowings consisted of reverse repurchase agreements. Pre-Contribution Transaction such borrowings consisted of borrowings from SPTL.</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March 31, 1996 the Company had reverse repurchase facilities to provide up to $623.0 million to finance the Company's three businesses. Terms of the reverse repurchase agreements require that the mortgages be held by an independent third party custodian, which gives the Company the ability to borrow against the collateral as a percentage of the outstanding principal balance. The borrowing rates quoted vary from 65 basis points to 100 basis points over one-month LIBOR, depending on the type of collateral provided by the Company. The margins on the reverse repurchase agreements are based on the type of mortgage collateral used and generally range from 90% to 98% of the fair market value of the collateral.</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By December 31, 1995, the Company utilized approximately 65%, 20% and 10% of the net proceeds from its Initial Public Offering to provide funding for the Warehouse Lending Operations, Long-Term Investment Operations and its Conduit Operations, respectively. Management believes that cash flow from operations and the aforementioned potential financing arrangements is sufficient to meet the current liquidity needs of the three businesses.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Financial Statements and Notes thereto presented herein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costs of the Company's operations. Unlike industrial companies, nearly all of the assets and liabilities of the Company's operations are monetary in nature. As a result, interest rates have a greater impact on the Company's operations' performance than do the effects of general levels of inflation. Inflation affects the Company's operations primarily through its effect on interest rates, since interest rates normally increase during periods of high inflation and decrease during periods of low inflation. During periods of increasing interest rates, demand for mortgage loans and a borrower's ability to qualify for mortgage financing in a purchase transaction may be adversely affected.</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2" w:name="page43"/>
    <w:bookmarkEnd w:id="42"/>
    <w:p>
      <w:pPr>
        <w:jc w:val="center"/>
        <w:ind w:right="1999"/>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Business section contains forward-looking statements that inherently involve risks and uncertainties. The Company's actual results could differ materially from those anticipated in these forward-looking statements as a result of certain factors, including those set forth under "Risk Factors" and elsewhere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IMH is a recently-formed specialty finance company, which operates three businesses: (1) the Long-Term Investment Operations, (2) the Conduit Operations and (3) the Warehouse Lending Operations. The Long-Term Investment Operations is a recently-created business that invests primarily in non-conforming residential mortgage loans and securities backed by such loans. The Conduit Operations primarily purchases and sells or securitizes non-conforming mortgage loans, and the Warehouse Lending Operations, provides short-term lines of credit to originators of mortgage loans. These two businesses include certain ongoing operations contributed to the Company by ICII on November 20, 1995, a leading specialty finance company. IMH is organized as a REIT for tax purposes, which allows it generally to pass through earnings to stockholders without federal income tax at the corporate level.</w:t>
      </w:r>
    </w:p>
    <w:p>
      <w:pPr>
        <w:spacing w:after="0" w:line="39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Long-Term Investment Operations. The Long-Term Investment Operations, conducted by IMH, invests primarily in non-conforming residential mortgage loans and mortgage-backed securities secured by or representing interests in such loans and, to a lesser extent, in second mortgage loans. Non-conforming residential mortgage loans are residential mortgages that do not qualify for purchase by government-sponsored agencies such as FNMA and FHLMC. Such loans generally provide higher yields than conforming loans. The principal differences between conforming loans and non-conforming loans include the applicable loan-to-value ratios, the credit and income histories of the mortgagors, the documentation required for approval of the mortgagors, the type of properties securing the mortgage loans, the loan sizes and the mortgagors' occupancy status with respect to the mortgaged properties. Second mortgage loans are higher yielding mortgage loans made to borrowers owning single-family homes, for the purpose of debt consolidation, home improvements, education and a variety of other purposes. At March 31, 1996 the Company's investment portfolio consisted of $311.5 million of non-conforming mortgage loans and $33.2 million of mortgage-backed or other collateralized securities.</w:t>
      </w:r>
    </w:p>
    <w:p>
      <w:pPr>
        <w:spacing w:after="0" w:line="39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Conduit Operations. The Conduit Operations, conducted by ICIFC, purchases primarily non-conforming mortgage loans and, to a lesser extent, second mortgage loans from its network of third party correspondents and subsequently securitizes or sells such loans to permanent investors, including the Long-Term Investment Operations. ICIFC's ability to design non-conforming mortgage loans, which suit the needs of its correspondent loan originators and their borrowers while providing sufficient credit quality to investors, as well as its efficient loan purchasing process, flexible purchase commitment options and competitive pricing, enables it to compete effectively with other non-conforming mortgage loan conduits. In addition to ongoing securitizations and sales to third party investors, ICIFC supports the Long-Term Investment Operations of the Company by supplying IMH with non-conforming mortgage loans and securities backed by such loans at costs which are lower than would be available through third parties. For the three months ended March 31, 1996, ICIFC acquired $280.5 million in mortgage loans and sold $314.9 million of mortgage loans to the Long-Term Investment Operations. During the years ended December 31, 1995 and 1994, ICIFC acquired mortgage loans from its correspondents, including ICII after the Contribution Transaction, in the amount of $1.1 billion and $1.7 billion, respectively. Prior to the Contribution Transaction, ICIFC was a division or subsidiary of ICII since 1990. IMH owns 99% of the economic interest in ICIFC while ICII is the holder of all of the outstanding voting stock of ICIFC. At March 31, 1996, ICIFC maintained relationships with 223 correspondents.</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Warehouse Lending Operations. The Warehouse Lending Operations, conducted by IWLG, provides short-term lines of credit to ICIFC and approved mortgage banks, most of which are correspondents of ICIFC, to finance mortgage loans during the time from the closing of the loans to their sale or other settlement with pre-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969"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approved investors. At March 31, 1996, the Warehouse Lending Operations had</w:t>
      </w:r>
    </w:p>
    <w:p>
      <w:pPr>
        <w:spacing w:after="0" w:line="4" w:lineRule="exact"/>
        <w:rPr>
          <w:sz w:val="20"/>
          <w:szCs w:val="20"/>
          <w:color w:val="auto"/>
        </w:rPr>
      </w:pPr>
    </w:p>
    <w:p>
      <w:pPr>
        <w:ind w:right="2000"/>
        <w:spacing w:after="0" w:line="235" w:lineRule="auto"/>
        <w:rPr>
          <w:sz w:val="20"/>
          <w:szCs w:val="20"/>
          <w:color w:val="auto"/>
        </w:rPr>
      </w:pPr>
      <w:r>
        <w:rPr>
          <w:rFonts w:ascii="Courier New" w:cs="Courier New" w:eastAsia="Courier New" w:hAnsi="Courier New"/>
          <w:sz w:val="18"/>
          <w:szCs w:val="18"/>
          <w:color w:val="auto"/>
        </w:rPr>
        <w:t>$196.1 million in finance receivables outstanding, of which $173.4 million was outstanding with ICIFC.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INVESTMENT OPERATIONS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00" w:firstLine="211"/>
        <w:spacing w:after="0" w:line="238" w:lineRule="auto"/>
        <w:rPr>
          <w:sz w:val="20"/>
          <w:szCs w:val="20"/>
          <w:color w:val="auto"/>
        </w:rPr>
      </w:pPr>
      <w:r>
        <w:rPr>
          <w:rFonts w:ascii="Courier New" w:cs="Courier New" w:eastAsia="Courier New" w:hAnsi="Courier New"/>
          <w:sz w:val="18"/>
          <w:szCs w:val="18"/>
          <w:color w:val="auto"/>
        </w:rPr>
        <w:t>IMH acquires mortgage loans and mortgage-backed securities, principally non-conforming residential mortgage loans and securities backed by such loans, for long-term investment. The Long-Term Investment Operations also invests, to a lesser extent, in second mortgage loans. Currently, the Long-Term Investment Operations include certain other assets which were purchased from ICII and its affiliates, including FMAC, that generate earnings unrelated to the Company's mortgage banking operations. See "Certain Transactions--Other Transactions." Income is earned principally from the net interest income received by the Company on the mortgage loans and mortgage-backed securities acquired and held in its portfolio. Such acquisitions are financed with a portion of the Company's capital, as well as borrowings provided through reverse repurchase agreements and CMO financings. On March 31, 1996 and December 31, 1995, the Company had total outstanding borrowings under reverse repurchase agreements of $528.7 million and $567.7 million, respectively. In April 1996, the Company completed a $296.3 million CMO financing. ICIFC supports the investment objectives of IMH by supplying all mortgage loans and mortgage-backed securities to IMH at costs lower than would be available through investment bankers and other third parties.</w:t>
      </w:r>
    </w:p>
    <w:p>
      <w:pPr>
        <w:spacing w:after="0" w:line="209" w:lineRule="exact"/>
        <w:rPr>
          <w:sz w:val="20"/>
          <w:szCs w:val="20"/>
          <w:color w:val="auto"/>
        </w:rPr>
      </w:pPr>
    </w:p>
    <w:p>
      <w:pPr>
        <w:ind w:right="220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composition of the Long-Term Investment Portfolio on the dates indicated.</w:t>
      </w:r>
    </w:p>
    <w:p>
      <w:pPr>
        <w:sectPr>
          <w:pgSz w:w="11900" w:h="16838" w:orient="portrait"/>
          <w:cols w:equalWidth="0" w:num="1">
            <w:col w:w="10220"/>
          </w:cols>
          <w:pgMar w:left="240" w:top="717" w:right="1439"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TYPE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firstLine="948"/>
        <w:spacing w:after="0"/>
        <w:rPr>
          <w:sz w:val="20"/>
          <w:szCs w:val="20"/>
          <w:color w:val="auto"/>
        </w:rPr>
      </w:pPr>
      <w:r>
        <w:rPr>
          <w:rFonts w:ascii="Courier New" w:cs="Courier New" w:eastAsia="Courier New" w:hAnsi="Courier New"/>
          <w:sz w:val="18"/>
          <w:szCs w:val="18"/>
          <w:color w:val="auto"/>
        </w:rPr>
        <w:t>AT MARCH 31, 1996 AT DECEMBER 31, 1995 ----------------------------------- ----------------------------------- CARRYING WEIGHTED PERCENTAGE CARRYING WEIGHTED PERCENTAGE VALUE AVERAGE YIELD OF PORTFOLIO VALUE AVERAGE YIELD OF PORTFOLIO -------- ------------- ------------ -------- ------------- ------------ (DOLLARS IN THOUSANDS)</w:t>
      </w:r>
    </w:p>
    <w:p>
      <w:pPr>
        <w:spacing w:after="0" w:line="200" w:lineRule="exact"/>
        <w:rPr>
          <w:sz w:val="20"/>
          <w:szCs w:val="20"/>
          <w:color w:val="auto"/>
        </w:rPr>
      </w:pPr>
    </w:p>
    <w:p>
      <w:pPr>
        <w:sectPr>
          <w:pgSz w:w="11900" w:h="16838" w:orient="portrait"/>
          <w:cols w:equalWidth="0" w:num="2">
            <w:col w:w="2020" w:space="720"/>
            <w:col w:w="7480"/>
          </w:cols>
          <w:pgMar w:left="240" w:top="717" w:right="1439" w:bottom="362"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Money Market Account....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$14,105</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5.28%</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5.73%</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0.12%</w:t>
      </w:r>
    </w:p>
    <w:p>
      <w:pPr>
        <w:spacing w:after="0" w:line="4" w:lineRule="exact"/>
        <w:rPr>
          <w:sz w:val="20"/>
          <w:szCs w:val="20"/>
          <w:color w:val="auto"/>
        </w:rPr>
      </w:pPr>
    </w:p>
    <w:p>
      <w:pPr>
        <w:sectPr>
          <w:pgSz w:w="11900" w:h="16838" w:orient="portrait"/>
          <w:cols w:equalWidth="0" w:num="8">
            <w:col w:w="2540" w:space="320"/>
            <w:col w:w="720" w:space="640"/>
            <w:col w:w="760" w:space="720"/>
            <w:col w:w="520" w:space="320"/>
            <w:col w:w="100" w:space="420"/>
            <w:col w:w="320" w:space="640"/>
            <w:col w:w="740" w:space="720"/>
            <w:col w:w="740"/>
          </w:cols>
          <w:pgMar w:left="240" w:top="717" w:right="1439" w:bottom="3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Investment Securities</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Available for Sale (2).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33,243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12.64</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8"/>
          <w:szCs w:val="18"/>
          <w:color w:val="auto"/>
        </w:rPr>
        <w:t>5.88</w:t>
      </w:r>
      <w:r>
        <w:rPr>
          <w:sz w:val="20"/>
          <w:szCs w:val="20"/>
          <w:color w:val="auto"/>
        </w:rPr>
        <w:tab/>
      </w:r>
      <w:r>
        <w:rPr>
          <w:rFonts w:ascii="Courier New" w:cs="Courier New" w:eastAsia="Courier New" w:hAnsi="Courier New"/>
          <w:sz w:val="16"/>
          <w:szCs w:val="16"/>
          <w:color w:val="auto"/>
        </w:rPr>
        <w:t>17,378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11.23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2.85</w:t>
      </w:r>
    </w:p>
    <w:p>
      <w:pPr>
        <w:spacing w:after="0" w:line="4" w:lineRule="exact"/>
        <w:rPr>
          <w:sz w:val="20"/>
          <w:szCs w:val="20"/>
          <w:color w:val="auto"/>
        </w:rPr>
      </w:pPr>
    </w:p>
    <w:p>
      <w:pPr>
        <w:sectPr>
          <w:pgSz w:w="11900" w:h="16838" w:orient="portrait"/>
          <w:cols w:equalWidth="0" w:num="6">
            <w:col w:w="2540" w:space="420"/>
            <w:col w:w="620" w:space="540"/>
            <w:col w:w="860" w:space="720"/>
            <w:col w:w="1680" w:space="520"/>
            <w:col w:w="860" w:space="720"/>
            <w:col w:w="740"/>
          </w:cols>
          <w:pgMar w:left="240" w:top="717" w:right="1439" w:bottom="3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Mortgage Loans Held for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Investment: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Adjustable Rate Loans-</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First Lien Mortgages..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277,854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8.14</w:t>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Courier New" w:cs="Courier New" w:eastAsia="Courier New" w:hAnsi="Courier New"/>
          <w:sz w:val="18"/>
          <w:szCs w:val="18"/>
          <w:color w:val="auto"/>
        </w:rPr>
        <w:t>49.16</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ectPr>
          <w:pgSz w:w="11900" w:h="16838" w:orient="portrait"/>
          <w:cols w:equalWidth="0" w:num="6">
            <w:col w:w="2540" w:space="320"/>
            <w:col w:w="720" w:space="640"/>
            <w:col w:w="660" w:space="720"/>
            <w:col w:w="1800" w:space="720"/>
            <w:col w:w="760" w:space="720"/>
            <w:col w:w="620"/>
          </w:cols>
          <w:pgMar w:left="240" w:top="717" w:right="1439" w:bottom="362"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Fixed Rate Loans-Second</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Mortgage Loans........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Receivables.....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35,897 -------- 313,751 -------- 196,291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13.19</w:t>
      </w:r>
    </w:p>
    <w:p>
      <w:pPr>
        <w:spacing w:after="0" w:line="218"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8.72</w:t>
      </w:r>
    </w:p>
    <w:p>
      <w:pPr>
        <w:spacing w:after="0" w:line="201"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8.34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6.35</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55.51</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34.73</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583,021</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8.80</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95.64</w:t>
      </w:r>
    </w:p>
    <w:p>
      <w:pPr>
        <w:spacing w:after="0" w:line="4" w:lineRule="exact"/>
        <w:rPr>
          <w:sz w:val="20"/>
          <w:szCs w:val="20"/>
          <w:color w:val="auto"/>
        </w:rPr>
      </w:pPr>
    </w:p>
    <w:p>
      <w:pPr>
        <w:sectPr>
          <w:pgSz w:w="11900" w:h="16838" w:orient="portrait"/>
          <w:cols w:equalWidth="0" w:num="7">
            <w:col w:w="2540" w:space="200"/>
            <w:col w:w="840" w:space="540"/>
            <w:col w:w="640" w:space="720"/>
            <w:col w:w="640" w:space="520"/>
            <w:col w:w="740" w:space="640"/>
            <w:col w:w="640" w:space="720"/>
            <w:col w:w="840"/>
          </w:cols>
          <w:pgMar w:left="240" w:top="717" w:right="1439" w:bottom="362" w:gutter="0" w:footer="0" w:header="0"/>
          <w:type w:val="continuous"/>
        </w:sectPr>
      </w:pPr>
    </w:p>
    <w:p>
      <w:pPr>
        <w:spacing w:after="0" w:line="234" w:lineRule="auto"/>
        <w:rPr>
          <w:sz w:val="20"/>
          <w:szCs w:val="20"/>
          <w:color w:val="auto"/>
        </w:rPr>
      </w:pPr>
      <w:r>
        <w:rPr>
          <w:rFonts w:ascii="Courier New" w:cs="Courier New" w:eastAsia="Courier New" w:hAnsi="Courier New"/>
          <w:sz w:val="18"/>
          <w:szCs w:val="18"/>
          <w:color w:val="auto"/>
        </w:rPr>
        <w:t>Lease Payment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Receivables Held for</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7,806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1.38</w:t>
      </w:r>
    </w:p>
    <w:p>
      <w:pPr>
        <w:spacing w:after="0" w:line="4" w:lineRule="exact"/>
        <w:rPr>
          <w:sz w:val="20"/>
          <w:szCs w:val="20"/>
          <w:color w:val="auto"/>
        </w:rPr>
      </w:pPr>
    </w:p>
    <w:p>
      <w:pPr>
        <w:sectPr>
          <w:pgSz w:w="11900" w:h="16838" w:orient="portrait"/>
          <w:cols w:equalWidth="0" w:num="7">
            <w:col w:w="2540" w:space="520"/>
            <w:col w:w="520" w:space="540"/>
            <w:col w:w="860" w:space="720"/>
            <w:col w:w="440" w:space="720"/>
            <w:col w:w="520" w:space="520"/>
            <w:col w:w="860" w:space="720"/>
            <w:col w:w="740"/>
          </w:cols>
          <w:pgMar w:left="240" w:top="717" w:right="1439" w:bottom="362"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4760" w:space="720"/>
            <w:col w:w="640" w:space="420"/>
            <w:col w:w="3680"/>
          </w:cols>
          <w:pgMar w:left="240" w:top="717" w:right="1439" w:bottom="362"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Total Interest Bearing</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$565,196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$609,590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7">
            <w:col w:w="2540" w:space="200"/>
            <w:col w:w="840" w:space="640"/>
            <w:col w:w="540" w:space="720"/>
            <w:col w:w="740" w:space="320"/>
            <w:col w:w="840" w:space="640"/>
            <w:col w:w="540" w:space="720"/>
            <w:col w:w="940"/>
          </w:cols>
          <w:pgMar w:left="240" w:top="717" w:right="1439" w:bottom="362"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BORROWING TYPE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Reverse Repurchase</w:t>
      </w:r>
    </w:p>
    <w:p>
      <w:pPr>
        <w:sectPr>
          <w:pgSz w:w="11900" w:h="16838" w:orient="portrait"/>
          <w:cols w:equalWidth="0" w:num="1">
            <w:col w:w="10220"/>
          </w:cols>
          <w:pgMar w:left="240" w:top="717" w:right="1439" w:bottom="362" w:gutter="0" w:footer="0" w:header="0"/>
          <w:type w:val="continuous"/>
        </w:sectPr>
      </w:pP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Agreements.............</w:t>
      </w:r>
    </w:p>
    <w:p>
      <w:pPr>
        <w:spacing w:after="0" w:line="218"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Net Interest Spread...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$527,660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6.30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2.48%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$566,652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8"/>
          <w:szCs w:val="18"/>
          <w:color w:val="auto"/>
        </w:rPr>
        <w:t>6.67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2.24%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w:t>
      </w:r>
    </w:p>
    <w:p>
      <w:pPr>
        <w:spacing w:after="0" w:line="824" w:lineRule="exact"/>
        <w:rPr>
          <w:sz w:val="20"/>
          <w:szCs w:val="20"/>
          <w:color w:val="auto"/>
        </w:rPr>
      </w:pPr>
    </w:p>
    <w:p>
      <w:pPr>
        <w:sectPr>
          <w:pgSz w:w="11900" w:h="16838" w:orient="portrait"/>
          <w:cols w:equalWidth="0" w:num="7">
            <w:col w:w="2540" w:space="200"/>
            <w:col w:w="840" w:space="540"/>
            <w:col w:w="640" w:space="720"/>
            <w:col w:w="740" w:space="320"/>
            <w:col w:w="840" w:space="520"/>
            <w:col w:w="660" w:space="720"/>
            <w:col w:w="940"/>
          </w:cols>
          <w:pgMar w:left="240" w:top="717" w:right="1439" w:bottom="36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200" w:hanging="412"/>
        <w:spacing w:after="0" w:line="236"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March 31, 1996 and December 31, 1995 the Company had $164,000 and $0, respectively, of non-performing mortgage loans attributable to Long-Term Investment Operations.</w:t>
      </w:r>
    </w:p>
    <w:p>
      <w:pPr>
        <w:spacing w:after="0" w:line="6" w:lineRule="exact"/>
        <w:rPr>
          <w:rFonts w:ascii="Courier New" w:cs="Courier New" w:eastAsia="Courier New" w:hAnsi="Courier New"/>
          <w:sz w:val="18"/>
          <w:szCs w:val="18"/>
          <w:color w:val="auto"/>
        </w:rPr>
      </w:pPr>
    </w:p>
    <w:p>
      <w:pPr>
        <w:ind w:left="420" w:right="2320" w:hanging="412"/>
        <w:spacing w:after="0" w:line="236"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securities purchased from ICII and an affiliate of ICII. See "Certain Transactions--Other Transactions--Purchases of Other Investments."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20"/>
          </w:cols>
          <w:pgMar w:left="240" w:top="717" w:right="1439" w:bottom="362" w:gutter="0" w:footer="0" w:header="0"/>
          <w:type w:val="continuous"/>
        </w:sectPr>
      </w:pPr>
    </w:p>
    <w:bookmarkStart w:id="44" w:name="page45"/>
    <w:bookmarkEnd w:id="44"/>
    <w:p>
      <w:pPr>
        <w:ind w:left="120"/>
        <w:spacing w:after="0"/>
        <w:rPr>
          <w:sz w:val="20"/>
          <w:szCs w:val="20"/>
          <w:color w:val="auto"/>
        </w:rPr>
      </w:pPr>
      <w:r>
        <w:rPr>
          <w:rFonts w:ascii="Courier New" w:cs="Courier New" w:eastAsia="Courier New" w:hAnsi="Courier New"/>
          <w:sz w:val="18"/>
          <w:szCs w:val="18"/>
          <w:color w:val="auto"/>
        </w:rPr>
        <w:t>MORTGAGE LOANS HELD IN THE PORTFOLIO</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originates, through its network of correspondents, and invests a substantial portion of its portfolio in non-conforming mortgage loans and, to a lesser extent, second mortgage loans. Management believes that there is a large demand for non-conforming mortgage loans and that non-conforming mortgage loans provide an attractive net earnings profile and produce higher yields without commensurately higher credit risks when compared with conforming mortgage loans. A portion of the loans purchased through the Conduit Operations as well as a portion of the investment portfolio of the Long-Term Investment Operations are "B" and "C" grade mortgage loans. The Company believes that a structural change in the mortgage banking industry has occurred which has increased demand for higher yielding non-conforming mortgage loans. This change has been caused by a number of factors, including:</w:t>
      </w:r>
    </w:p>
    <w:p>
      <w:pPr>
        <w:spacing w:after="0" w:line="188" w:lineRule="exact"/>
        <w:rPr>
          <w:sz w:val="20"/>
          <w:szCs w:val="20"/>
          <w:color w:val="auto"/>
        </w:rPr>
      </w:pPr>
    </w:p>
    <w:p>
      <w:pPr>
        <w:ind w:right="19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investors' demand for higher yielding assets due to historically low interest rates over the past few years; (2) increased securitization of high-yielding non-conforming mortgage loans by the investment banking industry; (3) quantification and development of standardized credit criteria by credit rating agencies for securities backed by non-conforming mortgage loans; (4) increased competition in the securitization industry, which has reduced borrower interest rates and fees, thereby making non-conforming mortgage loans more affordable; and (5) the end of the refinance "boom" of 1992 and 1993, which has caused many mortgage banks, attempting to sustain origination volume, to seek out non-conforming mortgage loan borrowers.</w:t>
      </w:r>
    </w:p>
    <w:p>
      <w:pPr>
        <w:spacing w:after="0" w:line="215" w:lineRule="exact"/>
        <w:rPr>
          <w:sz w:val="20"/>
          <w:szCs w:val="20"/>
          <w:color w:val="auto"/>
        </w:rPr>
      </w:pPr>
    </w:p>
    <w:p>
      <w:pPr>
        <w:ind w:right="3039" w:firstLine="105"/>
        <w:spacing w:after="0" w:line="235" w:lineRule="auto"/>
        <w:rPr>
          <w:sz w:val="20"/>
          <w:szCs w:val="20"/>
          <w:color w:val="auto"/>
        </w:rPr>
      </w:pPr>
      <w:r>
        <w:rPr>
          <w:rFonts w:ascii="Courier New" w:cs="Courier New" w:eastAsia="Courier New" w:hAnsi="Courier New"/>
          <w:sz w:val="18"/>
          <w:szCs w:val="18"/>
          <w:color w:val="auto"/>
        </w:rPr>
        <w:t>INVESTMENTS IN MORTGAGE-BACKED SECURITIES AND MASTER SERVICING FEES RECEIVABLE</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acquires mortgage-backed securities generated through its own securitization efforts as well as those generated by third parties. In connection with the issuance of mortgage-backed securities by the Company in the form of REMICs, IMH may retain the senior or subordinated securities as regular interests (not including residual interests) on a short-term or long-term basis. In connection with its February 1996 $175.4 REMIC security, the Company retained securities as regular interest in the amount of $8.5 million. Any such retained regular interest may include "principal only" or "interest only" securities or other interest rate or prepayment sensitive securities or investments. Any such retained securities or investments may subject the Company to credit, interest rate and/or prepayment risks. The Company anticipates it will retain such securities only on terms which it believes are sufficiently attractive to compensate it for assuming such associated risks.</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expects in the future to retain master servicing fees receivable. See"--Servicing and Master Servicing." Master servicing fees receivable have characteristics similar to interest only securities; accordingly, they have many of the same risks inherent in interest only securities, including the risk that they will lose a substantial portion of their value as a result of rapid prepayments occasioned by declining interest rates.</w:t>
      </w:r>
    </w:p>
    <w:p>
      <w:pPr>
        <w:spacing w:after="0" w:line="21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Master servicing fees receivable represent the present value of the difference between the interest rate on mortgage loans purchased by the Conduit Operations and the interest rate received by investors who purchase the securities backed by such loans, in excess of the normal loan servicing fees charged by either (1) the Conduit Operations on loans acquired "servicing released" or (2) correspondents who sold loans to the Conduit Operations with the "servicing retained" (the "Excess Servicing Fees"). At March 31, 1996 and December 31, 1995, the Company had no master servicing fees receivable.</w:t>
      </w:r>
    </w:p>
    <w:p>
      <w:pPr>
        <w:spacing w:after="0" w:line="186"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When the Conduit Operations purchases loans which include the associated servicing rights, the allocated price paid for the servicing rights will be reflected on its financial statements as MSRs. MSRs differ from master servicing fees receivable primarily by the required amount of servicing to be performed, the loss exposure to the owner of the instrument and the financial liquidity of the instrument. In contrast to MSRs where the owner of the instrument acts as the servicer, master servicing fees receivable do not require the owner of the instrument to service the underlying mortgage loan. In addition, master servicing fees receivable subject their owners to greater loss exposure from delinquencies or foreclosure on the underlying mortgage loans than MSRs because a master servicer stands behind the servicer (or subservicer) and potentially the owner of the mortgage loan in priority of payment. Both MSRs and master servicing fees receivable are traded in the public financial markets. However, MSRs are generally more liquid and are traded at less of a discount as compared to master servicing fees receivable. At March 31, 1996 and December 31, 1995, the Company had $2.7 million and $0, respectively, of MSRs.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0" w:gutter="0" w:footer="0" w:header="0"/>
        </w:sectPr>
      </w:pPr>
    </w:p>
    <w:bookmarkStart w:id="45" w:name="page46"/>
    <w:bookmarkEnd w:id="45"/>
    <w:p>
      <w:pPr>
        <w:ind w:right="1999" w:firstLine="211"/>
        <w:spacing w:after="0" w:line="269" w:lineRule="auto"/>
        <w:rPr>
          <w:sz w:val="20"/>
          <w:szCs w:val="20"/>
          <w:color w:val="auto"/>
        </w:rPr>
      </w:pPr>
      <w:r>
        <w:rPr>
          <w:rFonts w:ascii="Courier New" w:cs="Courier New" w:eastAsia="Courier New" w:hAnsi="Courier New"/>
          <w:sz w:val="16"/>
          <w:szCs w:val="16"/>
          <w:color w:val="auto"/>
        </w:rPr>
        <w:t>To the extent that servicing fees on a mortgage loan exceed a "normal" servicing fee (typically ranging from 0.25% to 0.375% per annum of the mortgage loan principal amount), the Conduit Operations will generate master servicing fees receivable as an asset that represents an estimated present value of those excess fees assuming a prepayment rate on the mortgage loan. In determining present value of future cash flows, the Conduit Operations will use a market discount rate. Prepayment assumptions will be based on recent evaluations of the actual prepayments of the Conduit Operations' servicing portfolio or on market prepayment rates on new portfolios on which the Conduit Operations has no experience and the interest rate environment at the time the master servicing fees receivable are created. There can be no assurance of the accuracy of management's prepayment estimates. If actual prepayments with respect to sold mortgage loans occur more quickly than was projected at the time such mortgage loans were sold, the carrying value of the master servicing fees receivable may have to be written down through a charge to earnings in the period of adjustment. If actual prepayments with respect to sold mortgage loans occur more slowly than estimated, the carrying value of master servicing fees receivable on the Company's statement of financial condition would not increase, although total income would exceed previously estimated amounts.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Management of the Company believes that because of the current level of interest rates, investments in current coupon master servicing fees receivable are prudent, and if interest rates rise, these investments will mitigate declines in income that may occur in the Conduit Operations. The Company intends to hold the master servicing fees receivable for investment. Currently there is a limited liquid secondary market for master servicing fees receivable; accordingly, if the Company had to sell these receivables, the value received may or may not be at or above the values at which the Company carried them on its balance sheet.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purchased and retained subordinated securities, with ratings ranging from "B" to "BBB", collaterized by adjustable rate mortgages. The subordinated securities are primarily backed by 30-year amortizing mortgage loans that adjust monthly, semi-annually or annually based on the 6-month LIBOR and 11th District Cost of Funds rates. In general, subordinated classes of a particular series of securities bear all losses prior to the related senior classes. Losses in excess of expected losses at the time such securities are purchased would adversely affect the Company's yield on such securities and, in extreme circumstances, could result in the failure of the Company to recoup its initial investment.</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will not acquire REMIC or CMO residuals, excluding residual interests for which the Company owns all of the outstanding interests in the REMIC or the CMO or which result from a securitization transaction by the Conduit Operations. See "--Conduit Operations--Securitization and Sale Process."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Mortgage loans and securities backed by mortgage loans are financed primarily at short-term borrowing rates through reverse repurchase agreements and other financings which the Company may establish with approved institutional lenders. Reverse repurchase agreements are the principal financing devices utilized by the Company to leverage its mortgage loan portfolio. Upon repayment of each borrowing in the form of a reverse repurchase agreement, the collateral is immediately used for borrowing in the form of a new reverse repurchase agreement. The Company obtained financings in amounts and at interest rates that are consistent with its financing objectives described herein with four different third-party lenders and expects to increase the number of lenders in the future. For a discussion of the terms of the Company's reverse repurchase facilities, see "Management's Discussion and Analysis of Financial Condition and Results of Operations-- Liquidity and Capital Resources." The Company is seeking to establish commitment agreements under which certain of its lenders would be required to enter into new reverse repurchase agreements as needed by the Company during a specified period of time.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reverse repurchase agreement, although structured as a sale and repurchase obligation, acts as a financing under which the Company effectively pledges its mortgage loans and mortgage securities as collateral to secure a short-term loan. Generally, the other party to the agreement makes the loan in an amount equal to a percentage of the market value of the pledged collateral. At the maturity of the reverse repurchase agreement, the Company is required to repay the loan and correspondingly receives back its collateral. Under reverse repurchase agreements, the Company generally retains the incidents of beneficial ownership, including the right to distributions on the collateral and the right to vote on matters as to which certificate holders vote. Upon a payment default under such agreements, the lending party may liquidate the</w:t>
      </w:r>
    </w:p>
    <w:p>
      <w:pPr>
        <w:sectPr>
          <w:pgSz w:w="11900" w:h="16838" w:orient="portrait"/>
          <w:cols w:equalWidth="0" w:num="1">
            <w:col w:w="10219"/>
          </w:cols>
          <w:pgMar w:left="240" w:top="723" w:right="1440"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collateral.</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36" w:right="1440" w:bottom="1440" w:gutter="0" w:footer="0" w:header="0"/>
        </w:sectPr>
      </w:pPr>
    </w:p>
    <w:bookmarkStart w:id="47" w:name="page48"/>
    <w:bookmarkEnd w:id="47"/>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Company's borrowing agreements require the Company to pledge cash or additional securities backed by mortgage loans in the event the market value of existing collateral declines. To the extent that cash reserves are insufficient to cover such deficiencies in collateral, the Company may be required to sell assets to reduce its borrowings.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Reverse repurchase agreements take the form of a sale of securities to the lender at a discounted price in return for the lender's agreement to resell the same securities to the borrower at a future date (the maturity of the borrowing) at an agreed price. In the event of the insolvency or bankruptcy of the Company, certain reverse repurchase agreements may qualify for special treatment under the Bankruptcy Code, the effect of which is, among other things, to allow the creditor under such agreements to avoid the automatic stay provisions of the Bankruptcy Code and to foreclose on the collateral agreements without delay. In the event of the insolvency or bankruptcy of a lender during the term of a reverse repurchase agreement, the lender may be permitted, under the Bankruptcy Code, to repudiate the contract, and the Company's claim against the lender for damages therefrom may be treated simply as one of the unsecured creditors. In addition, if the lender is a broker or dealer subject to the Securities Investor Protection Act of 1970, the Company's ability to exercise its rights to recover its securities under a reverse repurchase agreement or to be compensated for any damages resulting from the lender's insolvency may be further limited by such statute. If the lender is an insured depository institution subject to the Federal Deposit Insurance Act, the Company's ability to exercise its rights to recover its securities under a reverse repurchase agreement or to be compensated for damages resulting form the lender's insolvency may be limited by such statute rather than the Bankruptcy Code. The effect of these various statutes is, among other things, that a bankrupt lender, or its conservator or receiver, may be permitted to repudiate or disaffirm its reverse repurchase agreements, and the Company's claims against the bankrupt lender for damages resulting therefrom may be treated simply as one of an unsecured creditor. Should this occur, the Company's claims would be subject to significant delay and, if and when received, may be substantially less than the damages actually suffered by the Company.</w:t>
      </w:r>
    </w:p>
    <w:p>
      <w:pPr>
        <w:spacing w:after="0" w:line="21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 reduce its exposure to the credit risk of reverse repurchase agreement lenders, the Company entered into such agreements with several different parties and follows its own credit exposure procedures. The Company monitors the financial condition of its reverse repurchase agreement lenders on a regular basis, including the percentage of mortgage loans that are the subject of reverse repurchase agreements with a single lender. Notwithstanding these measures, no assurance can be given that the Company will be able to avoid such third party risks.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ISSUANCE OF MORTGAGE-BACKED SECURITIES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Collateralized Mortgage Obligations. In addition to the financing strategies set forth above, as mortgage loans are accumulated, the Company issues CMOs secured by such loans as a means of financing its Long-Term Investments Operations. The decision to issue CMOs is based on the Company's current and future investment needs, market conditions and other factors. For accounting and tax purposes, the mortgage loans financed through the issuance of CMOs are treated as assets of the Company, and the CMOs are treated as debt of the Company. Each issue of CMOs is fully payable from the principal and interest payments on the underlying mortgage loans collateralizing such debt, any cash or other collateral required to be pledged as a condition to receiving the desired rating on the debt, and any investment income on such collateral. The Long-Term Investment Operations earns the net interest spread between the interest income on the mortgage loans and the interest and other expenses associated with the CMO financing. The net interest spread may be directly impacted by the levels of prepayment of the underlying mortgage loans and to the extent CMO classes have variable rates of interest, may be affected by changes in short-term interest rates.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the Company issues CMOs for financing purposes, it seeks an investment grade rating for such CMOs by a nationally-recognized rating agency. To secure such a rating, it is often necessary to pledge collateral ("Additional Collateral") in excess of the principal amount of the CMOs to be issued, or to obtain other forms of credit enhancements such as additional mortgage loan insurance. The need for Additional Collateral or other credit enhancements depends upon factors such as the type of collateral provided and the interest rates paid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362" w:gutter="0" w:footer="0" w:header="0"/>
        </w:sectPr>
      </w:pPr>
    </w:p>
    <w:bookmarkStart w:id="48" w:name="page49"/>
    <w:bookmarkEnd w:id="48"/>
    <w:p>
      <w:pPr>
        <w:ind w:right="2099"/>
        <w:spacing w:after="0" w:line="237" w:lineRule="auto"/>
        <w:rPr>
          <w:sz w:val="20"/>
          <w:szCs w:val="20"/>
          <w:color w:val="auto"/>
        </w:rPr>
      </w:pPr>
      <w:r>
        <w:rPr>
          <w:rFonts w:ascii="Courier New" w:cs="Courier New" w:eastAsia="Courier New" w:hAnsi="Courier New"/>
          <w:sz w:val="18"/>
          <w:szCs w:val="18"/>
          <w:color w:val="auto"/>
        </w:rPr>
        <w:t>thereon, the geographic concentration of the mortgaged property securing the collateral and other criteria established by the rating agency. The pledge of Additional Collateral reduces the capacity of the Company to raise additional funds through short-term secured borrowings or additional CMOs and diminishes the potential expansion of its investment portfolio. As a result, the Company's objective is to pledge collateral for CMOs only in the amount required to obtain an investment grade rating for the CMOs by a nationally-recognized rating agency.</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Company believes that under prevailing market conditions, an issuance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CMOs receiving other than an investment grade rating would require payment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excessive yield to attract investors. No assurance can be given that the</w:t>
      </w:r>
    </w:p>
    <w:p>
      <w:pPr>
        <w:spacing w:after="0" w:line="238" w:lineRule="auto"/>
        <w:rPr>
          <w:sz w:val="20"/>
          <w:szCs w:val="20"/>
          <w:color w:val="auto"/>
        </w:rPr>
      </w:pPr>
      <w:r>
        <w:rPr>
          <w:rFonts w:ascii="Courier New" w:cs="Courier New" w:eastAsia="Courier New" w:hAnsi="Courier New"/>
          <w:sz w:val="18"/>
          <w:szCs w:val="18"/>
          <w:color w:val="auto"/>
        </w:rPr>
        <w:t>Company will achieve the ratings it plans to seek for the CMOs. As of March</w:t>
      </w:r>
    </w:p>
    <w:p>
      <w:pPr>
        <w:spacing w:after="0"/>
        <w:rPr>
          <w:sz w:val="20"/>
          <w:szCs w:val="20"/>
          <w:color w:val="auto"/>
        </w:rPr>
      </w:pPr>
      <w:r>
        <w:rPr>
          <w:rFonts w:ascii="Courier New" w:cs="Courier New" w:eastAsia="Courier New" w:hAnsi="Courier New"/>
          <w:sz w:val="18"/>
          <w:szCs w:val="18"/>
          <w:color w:val="auto"/>
        </w:rPr>
        <w:t>31, 1996, the Company had not issued any CMOs for financing its Long-Term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Operations. However, during the second quarter of 1996,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completed a $296.3 million CMO financing. The CMO was structured as a one</w:t>
      </w:r>
    </w:p>
    <w:p>
      <w:pPr>
        <w:spacing w:after="0" w:line="238" w:lineRule="auto"/>
        <w:rPr>
          <w:sz w:val="20"/>
          <w:szCs w:val="20"/>
          <w:color w:val="auto"/>
        </w:rPr>
      </w:pPr>
      <w:r>
        <w:rPr>
          <w:rFonts w:ascii="Courier New" w:cs="Courier New" w:eastAsia="Courier New" w:hAnsi="Courier New"/>
          <w:sz w:val="18"/>
          <w:szCs w:val="18"/>
          <w:color w:val="auto"/>
        </w:rPr>
        <w:t>month LIBOR "floater" with interest payable monthly at LIBOR plus 0.50%. The</w:t>
      </w:r>
    </w:p>
    <w:p>
      <w:pPr>
        <w:spacing w:after="0"/>
        <w:rPr>
          <w:sz w:val="20"/>
          <w:szCs w:val="20"/>
          <w:color w:val="auto"/>
        </w:rPr>
      </w:pPr>
      <w:r>
        <w:rPr>
          <w:rFonts w:ascii="Courier New" w:cs="Courier New" w:eastAsia="Courier New" w:hAnsi="Courier New"/>
          <w:sz w:val="18"/>
          <w:szCs w:val="18"/>
          <w:color w:val="auto"/>
        </w:rPr>
        <w:t>CMO is guaranteed for the holders thereof by a mortgage loan insurer giving</w:t>
      </w:r>
    </w:p>
    <w:p>
      <w:pPr>
        <w:spacing w:after="0" w:line="237" w:lineRule="auto"/>
        <w:rPr>
          <w:sz w:val="20"/>
          <w:szCs w:val="20"/>
          <w:color w:val="auto"/>
        </w:rPr>
      </w:pPr>
      <w:r>
        <w:rPr>
          <w:rFonts w:ascii="Courier New" w:cs="Courier New" w:eastAsia="Courier New" w:hAnsi="Courier New"/>
          <w:sz w:val="18"/>
          <w:szCs w:val="18"/>
          <w:color w:val="auto"/>
        </w:rPr>
        <w:t>the CMO the highest rating established by a nationally-recognized rating</w:t>
      </w:r>
    </w:p>
    <w:p>
      <w:pPr>
        <w:spacing w:after="0" w:line="238" w:lineRule="auto"/>
        <w:rPr>
          <w:sz w:val="20"/>
          <w:szCs w:val="20"/>
          <w:color w:val="auto"/>
        </w:rPr>
      </w:pPr>
      <w:r>
        <w:rPr>
          <w:rFonts w:ascii="Courier New" w:cs="Courier New" w:eastAsia="Courier New" w:hAnsi="Courier New"/>
          <w:sz w:val="18"/>
          <w:szCs w:val="18"/>
          <w:color w:val="auto"/>
        </w:rPr>
        <w:t>agency. The underlying mortgages supporting the CMO represent approximately</w:t>
      </w:r>
    </w:p>
    <w:p>
      <w:pPr>
        <w:spacing w:after="0"/>
        <w:tabs>
          <w:tab w:leader="none" w:pos="840" w:val="left"/>
        </w:tabs>
        <w:rPr>
          <w:sz w:val="20"/>
          <w:szCs w:val="20"/>
          <w:color w:val="auto"/>
        </w:rPr>
      </w:pPr>
      <w:r>
        <w:rPr>
          <w:rFonts w:ascii="Courier New" w:cs="Courier New" w:eastAsia="Courier New" w:hAnsi="Courier New"/>
          <w:sz w:val="18"/>
          <w:szCs w:val="18"/>
          <w:color w:val="auto"/>
        </w:rPr>
        <w:t>$267.2</w:t>
      </w:r>
      <w:r>
        <w:rPr>
          <w:sz w:val="20"/>
          <w:szCs w:val="20"/>
          <w:color w:val="auto"/>
        </w:rPr>
        <w:tab/>
      </w:r>
      <w:r>
        <w:rPr>
          <w:rFonts w:ascii="Courier New" w:cs="Courier New" w:eastAsia="Courier New" w:hAnsi="Courier New"/>
          <w:sz w:val="16"/>
          <w:szCs w:val="16"/>
          <w:color w:val="auto"/>
        </w:rPr>
        <w:t>million of six month LIBOR adjustable rate mortgage loans with varying</w:t>
      </w:r>
    </w:p>
    <w:p>
      <w:pPr>
        <w:spacing w:after="0" w:line="237" w:lineRule="auto"/>
        <w:rPr>
          <w:sz w:val="20"/>
          <w:szCs w:val="20"/>
          <w:color w:val="auto"/>
        </w:rPr>
      </w:pPr>
      <w:r>
        <w:rPr>
          <w:rFonts w:ascii="Courier New" w:cs="Courier New" w:eastAsia="Courier New" w:hAnsi="Courier New"/>
          <w:sz w:val="18"/>
          <w:szCs w:val="18"/>
          <w:color w:val="auto"/>
        </w:rPr>
        <w:t>grade quality and $34.4 million of second mortgage loans.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Other Mortgage-Backed Securities. As an additional alternative for the financing of its Long-Term Investment Operations, the Company may issue other mortgage-backed securities, if, in the determination of ICIFC, the issuance of such other securities is advantageous. In particular, mortgage pass-through certificates representing an undivided interest in pools of mortgage loans formed by the Company may prove to be an attractive vehicle for raising funds.</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holders of mortgage pass-through certificates receive their pro rata share of the principal payments made on a pool of mortgage loans and interest at a pass-through interest rate that is fixed at the time of offering. The Company may retain up to a 100% undivided interest in a significant number of the pools of mortgage loans underlying such pass-through certificates. The retained interest, if any, may also be subordinated so that, in the event of a loss, payments to certificate holders will be made before the Company receives its payments. Unlike the issuance of CMOs, the issuance of mortgage pass-through certificates will not create an obligation of the Company to security holders in the event of a borrower default. However, as in the case of CMOs, the Company may be required to obtain various forms of credit enhancements in order to obtain an investment grade rating for issues of mortgage pass-through certificates by a nationally-recognized rating agency. As of March 31, 1996, IMH had not issued any such mortgage-backed securities.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CONDUIT OPERATIONS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ICIFC began its mortgage conduit operations as a division of ICII in 1990. As of March 31, 1996, ICIFC maintained relationships with 223 correspondents. Correspondents originate and close mortgage loans under ICIFC's mortgage loan programs offered through the secondary market on a flow (loan by loan) basis or acquire loans on a bulk acquisition commitment. Correspondents include savings and loan associations, commercial banks, mortgage bankers and mortgage brokers. During the three months ended March 31, 1996, the Interim Period, and the years ended December 31, 1995 and 1994, ICIFC acquired from its correspondents, including ICII after the Contribution Transaction, $280.5 million, $540.6 million, $1.1 billion and $1.7 billion, respectively, of mortgage loans.</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Conduit Operations consists of the purchase and sale of mortgage loans primarily secured by first liens and, to a lesser extent, second liens on single (one-to-four) family residential properties that are originated in accordance with ICIFC's underwriting guidelines. As a non-conforming mortgage loan conduit, ICIFC acts as a intermediary between the originators of mortgage loans that do not currently meet the guidelines for purchase by government-sponsored entities (i.e., FNMA and FHLMC) that guarantee mortgage-backed securities and permanent investors in mortgage-backed securities secured by or representing an ownership interest in such mortgage loans. ICIFC also acts as a bulk purchaser of primarily non-conforming mortgage loans. The Company believes that non-conforming mortgage loans provide an attractive net earnings profile, producing higher yields without commensurately higher credit risks when compared to mortgage loans that qualify for purchase by FNMA or FHLMC. In addition, based on the Company's experience in the mortgage banking industry and in the mortgage conduit business, the Company believes it provides mortgage loan sellers with an expanded and competitively priced array of non-conforming and "B" and "C" grade mortgage loan products, timely purchasing of loans, mandatory, best efforts and optional rate-lock commitments, and flexible Master Commitments.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non-conforming loans purchased by ICIFC are made available for sale to IMH at the same price at which the loans were acquired by ICIFC or fair market value at the date of sale and subsequent transfer to IMH. In addition, ICII granted ICIFC a right of first refusal to purchase all non-conforming loans that ICII or any 25% entity originates or acquires and subsequently offers for sale, and ICIFC granted ICII, or any 25% entity designated by ICII, a right of first refusal to purchase all conforming mortgage loans that ICIFC acquires and subsequently offers for sale. See "Certain Transactions--The Contribution Transaction."</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MARKETING AND PRODUCTION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Marketing Strategy. The Company's competitive strategy is, in part, to be a low cost national acquirer, through its national correspondent network, of mortgage loans to be held for investment or sold in the secondary market as whole loans or securitized as mortgage-backed securities. A key feature of this approach is the use of a large national network of correspondent originators, which enables the Company to shift the high fixed costs of interfacing with the homeowner to the correspondents. The marketing strategy for the Conduit Operations is designed to accomplish three objectives: (1) attract a geographically diverse group of both large and small correspondent loan originators, (2) establish relationships with such correspondents and facilitate their ability to offer a variety of loan products designed by ICIFC and (3) purchase the loans and securitize or sell them into the secondary market or to IMH. In order to accomplish these objectives, ICIFC designs and offers loan products that are attractive to potential non-conforming borrowers as well as to end-investors in non-conforming mortgage loans and mortgage-backed securities.</w:t>
      </w:r>
    </w:p>
    <w:p>
      <w:pPr>
        <w:spacing w:after="0" w:line="20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ICIFC has historically emphasized and continues to emphasize flexibility in its mortgage loan product mix as part of its strategy to attract correspondents and establish relationships. ICIFC also maintains relationships with numerous end-investors so that it may develop products that they may be interested in as market conditions change, which in turn may be offered through the correspondent network. As a consequence, ICIFC is less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767" w:gutter="0" w:footer="0" w:header="0"/>
        </w:sectPr>
      </w:pPr>
    </w:p>
    <w:bookmarkStart w:id="50" w:name="page51"/>
    <w:bookmarkEnd w:id="50"/>
    <w:p>
      <w:pPr>
        <w:ind w:right="2319"/>
        <w:spacing w:after="0" w:line="279" w:lineRule="auto"/>
        <w:rPr>
          <w:sz w:val="20"/>
          <w:szCs w:val="20"/>
          <w:color w:val="auto"/>
        </w:rPr>
      </w:pPr>
      <w:r>
        <w:rPr>
          <w:rFonts w:ascii="Courier New" w:cs="Courier New" w:eastAsia="Courier New" w:hAnsi="Courier New"/>
          <w:sz w:val="16"/>
          <w:szCs w:val="16"/>
          <w:color w:val="auto"/>
        </w:rPr>
        <w:t>dependent on acquiring conforming mortgage loans than many mortgage bankers and has, in the past, both as a division or subsidiary of ICII and as a subsidiary of IMH, acquired significant volumes of non-conforming loans.</w:t>
      </w:r>
    </w:p>
    <w:p>
      <w:pPr>
        <w:spacing w:after="0" w:line="17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response to the needs of its non-conforming mortgage loan correspondents and as part of its strategy to facilitate the sale of its loans through the Conduit Operations, ICIFC's marketing strategy offers efficient response time in the purchase process, direct and frequent contact with Sellers through a trained sales force and flexible commitment programs. Finally, due to the price sensitivity of most home buyers, ICIFC is competitive in pricing its products in order to attract sufficient numbers of borrowers.</w:t>
      </w:r>
    </w:p>
    <w:p>
      <w:pPr>
        <w:spacing w:after="0" w:line="1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Mortgage Loans Acquired. A majority of the mortgage loans purchased through the Conduit Operations are non-conforming mortgage loans. Currently, the maximum principal balance for a conforming loan is $207,000. Loans that exceed such maximum principal balance are referred to as "jumbo loans." Non-conforming mortgage loans generally consist of jumbo loans or other loans that are originated in accordance with underwriting or product guidelines that differ from those applied by FNMA and FHLMC. Such non-conforming loans may involve some greater risk as a result of such different underwriting and product guidelines. A portion of the loans purchased through the Conduit Operations are "B" and "C" grade loans, as described below, which may entail greater credit risks than other non-conforming loans. ICIFC generally does not acquire mortgage loans with principal balances above $750,000 for "A" quality loans, and $400,000 for "B" and "C" grade loans.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Non-conforming loans purchased by ICIFC pursuant to its underwriting programs typically differ from those purchased pursuant to the guidelines established by FNMA and FHLMC primarily with respect to loan-to-value ratios, borrower income or credit history, required documentation, interest rates, borrower occupancy of the mortgaged property and/or property types. To the extent that these programs reflect underwriting standards different from those of FNMA and FHLMC, the performance of loans made thereunder may reflect higher delinquency rates and/or credit losses. The Company believes that non-conforming mortgage loans produce higher yields without commensurately higher credit risk when compared to conforming mortgage loans.</w:t>
      </w:r>
    </w:p>
    <w:p>
      <w:pPr>
        <w:spacing w:after="0" w:line="3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ICIFC's focus on the acquisition of non-conforming mortgage loans may affect the Company's financial performance. For example, the purchase market for non-conforming loans has typically provided for higher interest rates in order to compensate for the lower liquidity of such loans, thereby potentially enhancing the interest income earned by the Company during the accumulation phase for loans held for sale and during the holding period for loans held for investment. In addition, due to the lower level of liquidity in non-conforming loan market, the Company may realize higher returns upon securitization of such loans than would be realized upon securitization of conforming loans. On the other hand, such lower levels of liquidity may from time to time cause the Company to hold such loans or other mortgage-related assets supported by such loans. In addition, by retaining for investment either the loans or other mortgage-related assets supported by such loans, the Company assumes the potential risk of any increased delinquency rates and/or credit losses as well as interest rate risk.</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Mortgage loans acquired by ICIFC are generally secured by first liens and, to a lesser extent, second liens on single (one-to-four) family residential properties with either fixed or adjustable interest rates. During the three months ended March 31, 1996, fixed-rate mortgage loans and ARMs accounted for approximately 87.8% and 12.2%, respectively, of the mortgage loans purchased by ICIFC. Fixed-rate mortgage loans have a constant interest rate over the life of the loan, which is generally 15 or 30 years. The interest rate on an ARM is typically tied to an index (such as LIBOR or the CMT Index) and is adjustable periodically at various intervals. Such mortgage loans are typically subject to lifetime interest rate caps and periodic interest rate and/or payment caps. The interest rates on ARMs are typically lower than the average comparable fixed rate loan initially, but may be higher than average comparable fixed rate loans over the life of the loan. Substantially all mortgage loans purchased by ICIFC will fully amortize over their remaining terms. Currently, ICIFC purchases (1) fixed rate mortgage loans that have original terms to maturity ranging from 10 to 30 years, (2) ARM mortgage loans that adjust based on LIBOR or the CMT Index, and (3) 5/25 mortgage loans that adjust on a one-time basis approximately five years following origination to an interest rate based upon a defined index plus a spread. ICIFC may from time to time purchase mortgage loans with other interest rate and maturity characteristics.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59" w:gutter="0" w:footer="0" w:header="0"/>
        </w:sectPr>
      </w:pPr>
    </w:p>
    <w:bookmarkStart w:id="51" w:name="page52"/>
    <w:bookmarkEnd w:id="51"/>
    <w:p>
      <w:pPr>
        <w:ind w:right="2419" w:firstLine="211"/>
        <w:spacing w:after="0" w:line="235" w:lineRule="auto"/>
        <w:rPr>
          <w:sz w:val="20"/>
          <w:szCs w:val="20"/>
          <w:color w:val="auto"/>
        </w:rPr>
      </w:pPr>
      <w:r>
        <w:rPr>
          <w:rFonts w:ascii="Courier New" w:cs="Courier New" w:eastAsia="Courier New" w:hAnsi="Courier New"/>
          <w:sz w:val="18"/>
          <w:szCs w:val="18"/>
          <w:color w:val="auto"/>
        </w:rPr>
        <w:t>A summary of ICIFC's mortgage loan acquisitions by type of loan is shown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4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NOVEMBER 20, 1995</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580" w:type="dxa"/>
            <w:vAlign w:val="bottom"/>
          </w:tcPr>
          <w:p>
            <w:pPr>
              <w:spacing w:after="0"/>
              <w:rPr>
                <w:sz w:val="17"/>
                <w:szCs w:val="17"/>
                <w:color w:val="auto"/>
              </w:rPr>
            </w:pPr>
          </w:p>
        </w:tc>
        <w:tc>
          <w:tcPr>
            <w:tcW w:w="126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5"/>
              </w:rPr>
              <w:t>THROUGH</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MARCH 31, 1996</w:t>
            </w: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1995</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(DOLLARS IN MILLIONS,</w:t>
            </w:r>
          </w:p>
        </w:tc>
      </w:tr>
      <w:tr>
        <w:trPr>
          <w:trHeight w:val="203"/>
        </w:trPr>
        <w:tc>
          <w:tcPr>
            <w:tcW w:w="4600" w:type="dxa"/>
            <w:vAlign w:val="bottom"/>
          </w:tcPr>
          <w:p>
            <w:pPr>
              <w:spacing w:after="0"/>
              <w:rPr>
                <w:sz w:val="17"/>
                <w:szCs w:val="17"/>
                <w:color w:val="auto"/>
              </w:rPr>
            </w:pPr>
          </w:p>
        </w:tc>
        <w:tc>
          <w:tcPr>
            <w:tcW w:w="384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EXCEPT FOR AVERAGE LOAN SIZE)</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Conventional Conforming Loans:</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Volume of Loans..........................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152.3</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Percentage of total volume...............</w:t>
            </w:r>
          </w:p>
        </w:tc>
        <w:tc>
          <w:tcPr>
            <w:tcW w:w="7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w:t>
            </w:r>
          </w:p>
        </w:tc>
        <w:tc>
          <w:tcPr>
            <w:tcW w:w="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Conventional Non-conforming Loans:</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Volume of Loans..........................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248.4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388.3</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Percentage of total volume...............</w:t>
            </w:r>
          </w:p>
        </w:tc>
        <w:tc>
          <w:tcPr>
            <w:tcW w:w="7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88.5%</w:t>
            </w:r>
          </w:p>
        </w:tc>
        <w:tc>
          <w:tcPr>
            <w:tcW w:w="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71.8%</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280.5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540.6</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Rate Loans:</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Volume of Loans..........................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246.3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142.9</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Percentage of total volume...............</w:t>
            </w:r>
          </w:p>
        </w:tc>
        <w:tc>
          <w:tcPr>
            <w:tcW w:w="7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87.8%</w:t>
            </w:r>
          </w:p>
        </w:tc>
        <w:tc>
          <w:tcPr>
            <w:tcW w:w="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Adjustable Rate Loans:</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Volume of Loans..........................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397.7</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Percentage of total volume...............</w:t>
            </w:r>
          </w:p>
        </w:tc>
        <w:tc>
          <w:tcPr>
            <w:tcW w:w="7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12.2%</w:t>
            </w:r>
          </w:p>
        </w:tc>
        <w:tc>
          <w:tcPr>
            <w:tcW w:w="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280.5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540.6</w:t>
            </w:r>
          </w:p>
        </w:tc>
      </w:tr>
      <w:tr>
        <w:trPr>
          <w:trHeight w:val="203"/>
        </w:trPr>
        <w:tc>
          <w:tcPr>
            <w:tcW w:w="460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Average Loan Size..........................</w:t>
            </w: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$126,229</w:t>
            </w:r>
          </w:p>
        </w:tc>
        <w:tc>
          <w:tcPr>
            <w:tcW w:w="18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$143,017</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credit quality of the loans purchased by ICIFC varies depending upon the specific program under which such loans are purchased. For example, a principal credit risk inherent in adjustable-rate mortgage loans is the potential "payment shock" experienced by the borrower as rates rise, which could result in increased delinquencies and credit losses. In the case of negative amortization mortgage loans, a portion of the interest due accrues to the underlying principal balance of the loan, thereby increasing the loan-to-value ratio of the mortgage loan; as a general rule, mortgage loans with higher loan-to-value ratios are vulnerable to higher delinquency rates given the borrower's lower equity investment in the underlying property. Limited documentation mortgage loans, by contrast, must meet lower loan-to-value ratios and more rigorous criteria for borrower credit quality in order to compensate for the reduced level of lender review with respect to the borrower's earnings history and capacity.</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ICIFC's loan purchase activities have and are expected in the future to continue to focus on those regions of the country where higher volumes of non-conforming mortgage loans are originated, including California, Colorado, Florida, Illinois, Maryland, New Jersey, New York, Oregon and Washington. The highest concentration of non-conforming mortgage loans purchased by ICIFC relates to properties located in California because of the generally higher property values and mortgage loan balances prevalent there. At March 31, 1996 76.5% of IMH's mortgage loans held for investment were secured by properties in California. In addition, of the $1.1 billion in loans acquired during the year ended December 31, 1995, $816.2 million (or 73.1%) were acquired from ICIFC's top ten sellers, including ICII, by volume of sales. No sellers other than ICII or SPTL are an affiliate of the Company. SPTL, ICII and DITECH Funding Group, each accounted for more than 10% of the total mortgage loans acquired by ICIFC during 1995.</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2" w:name="page53"/>
    <w:bookmarkEnd w:id="52"/>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geographic distributions of the ICIFC's mortgage loan acquisitions.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PERIOD FROM</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NOVEMBER 20, 1995</w:t>
            </w:r>
          </w:p>
        </w:tc>
      </w:tr>
      <w:tr>
        <w:trPr>
          <w:trHeight w:val="203"/>
        </w:trPr>
        <w:tc>
          <w:tcPr>
            <w:tcW w:w="4280" w:type="dxa"/>
            <w:vAlign w:val="bottom"/>
          </w:tcPr>
          <w:p>
            <w:pPr>
              <w:spacing w:after="0"/>
              <w:rPr>
                <w:sz w:val="17"/>
                <w:szCs w:val="17"/>
                <w:color w:val="auto"/>
              </w:rPr>
            </w:pPr>
          </w:p>
        </w:tc>
        <w:tc>
          <w:tcPr>
            <w:tcW w:w="2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THROUGH</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MARCH 31, 1996</w:t>
            </w:r>
          </w:p>
        </w:tc>
        <w:tc>
          <w:tcPr>
            <w:tcW w:w="520" w:type="dxa"/>
            <w:vAlign w:val="bottom"/>
          </w:tcPr>
          <w:p>
            <w:pPr>
              <w:spacing w:after="0"/>
              <w:rPr>
                <w:sz w:val="17"/>
                <w:szCs w:val="17"/>
                <w:color w:val="auto"/>
              </w:rPr>
            </w:pPr>
          </w:p>
        </w:tc>
        <w:tc>
          <w:tcPr>
            <w:tcW w:w="2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DECEMBER 31, 1995</w:t>
            </w:r>
          </w:p>
        </w:tc>
      </w:tr>
      <w:tr>
        <w:trPr>
          <w:trHeight w:val="203"/>
        </w:trPr>
        <w:tc>
          <w:tcPr>
            <w:tcW w:w="428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DOLLAR</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PERCENTAGE</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DOLLAR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4280" w:type="dxa"/>
            <w:vAlign w:val="bottom"/>
          </w:tcPr>
          <w:p>
            <w:pPr>
              <w:spacing w:after="0"/>
              <w:rPr>
                <w:sz w:val="17"/>
                <w:szCs w:val="17"/>
                <w:color w:val="auto"/>
              </w:rPr>
            </w:pP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AMOUNT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OF TOTAL</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AMOUNT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TOTAL</w:t>
            </w:r>
          </w:p>
        </w:tc>
      </w:tr>
      <w:tr>
        <w:trPr>
          <w:trHeight w:val="203"/>
        </w:trPr>
        <w:tc>
          <w:tcPr>
            <w:tcW w:w="428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(DOLLARS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MILLIONS)</w:t>
            </w:r>
          </w:p>
        </w:tc>
        <w:tc>
          <w:tcPr>
            <w:tcW w:w="110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California..............................</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151.0</w:t>
            </w:r>
          </w:p>
        </w:tc>
        <w:tc>
          <w:tcPr>
            <w:tcW w:w="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53.8%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$370.6</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68.5%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Florida.................................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New Jersey..............................</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New York................................</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Oregon..................................</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Washington..............................</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Colorado................................</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North Carolina..........................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Nevada..................................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Utah....................................</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Maryland................................</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Pennsylvania............................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Illinois................................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Georgia.................................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Hawaii..................................</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Arizona.................................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Texas...................................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Virginia................................</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70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28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280.5</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28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540" w:type="dxa"/>
            <w:vAlign w:val="bottom"/>
            <w:gridSpan w:val="5"/>
          </w:tcPr>
          <w:p>
            <w:pPr>
              <w:jc w:val="right"/>
              <w:ind w:right="12"/>
              <w:spacing w:after="0"/>
              <w:rPr>
                <w:sz w:val="20"/>
                <w:szCs w:val="20"/>
                <w:color w:val="auto"/>
              </w:rPr>
            </w:pPr>
            <w:r>
              <w:rPr>
                <w:rFonts w:ascii="Courier New" w:cs="Courier New" w:eastAsia="Courier New" w:hAnsi="Courier New"/>
                <w:sz w:val="18"/>
                <w:szCs w:val="18"/>
                <w:color w:val="auto"/>
              </w:rPr>
              <w:t>To date, a portion of the loans purchased by ICIFC comprise</w:t>
            </w:r>
          </w:p>
        </w:tc>
        <w:tc>
          <w:tcPr>
            <w:tcW w:w="20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5"/>
              </w:rPr>
              <w:t>"B" and "C"</w:t>
            </w:r>
          </w:p>
        </w:tc>
      </w:tr>
      <w:tr>
        <w:trPr>
          <w:trHeight w:val="203"/>
        </w:trPr>
        <w:tc>
          <w:tcPr>
            <w:tcW w:w="6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grade residential mortgage loans. In general, "B" and "C"</w:t>
            </w:r>
          </w:p>
        </w:tc>
        <w:tc>
          <w:tcPr>
            <w:tcW w:w="25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grade loans are</w:t>
            </w:r>
          </w:p>
        </w:tc>
      </w:tr>
      <w:tr>
        <w:trPr>
          <w:trHeight w:val="203"/>
        </w:trPr>
        <w:tc>
          <w:tcPr>
            <w:tcW w:w="7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residential mortgage loans made to borrowers with lower credit ratings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w:t>
            </w:r>
          </w:p>
        </w:tc>
      </w:tr>
      <w:tr>
        <w:trPr>
          <w:trHeight w:val="203"/>
        </w:trPr>
        <w:tc>
          <w:tcPr>
            <w:tcW w:w="85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borrowers of higher quality, or so called "A" grade mortgage loans, and are</w:t>
            </w:r>
          </w:p>
        </w:tc>
      </w:tr>
      <w:tr>
        <w:trPr>
          <w:trHeight w:val="203"/>
        </w:trPr>
        <w:tc>
          <w:tcPr>
            <w:tcW w:w="6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normally subject to higher rates of loss and delinquency than</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the other non-</w:t>
            </w:r>
          </w:p>
        </w:tc>
      </w:tr>
      <w:tr>
        <w:trPr>
          <w:trHeight w:val="203"/>
        </w:trPr>
        <w:tc>
          <w:tcPr>
            <w:tcW w:w="6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conforming loans purchased by ICIFC. As a result, "B" and</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grade loans</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normally bear a higher rate of interest, and are typically subject to higher fees (including greater prepayment fees and late payment penalties), than non-conforming loans of "A" quality. In general, greater emphasis is placed upon the value of the mortgaged property and, consequently, the quality of appraisals thereof, and less upon the credit history of the borrower in underwriting "B" and "C" grade mortgage loans than in underwriting "A" grade loans. In addition, "B" and "C" grade loans are generally subject to lower loan-to-value ratios than "A" grade loans. Under ICIFC's "B" and "C" mortgage loan program, underwriting authority is delegated only to correspondents who meet those strict underwriting guidelines established by ICIFC. See "-- Underwriting and Quality Control."</w:t>
      </w:r>
    </w:p>
    <w:p>
      <w:pPr>
        <w:spacing w:after="0" w:line="21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ICIFC purchases "B" and "C" grade loans on a servicing-released basis rather than on a "servicing-retained" basis due to its belief that control over the servicing and collection functions with respect to such loans is important to the realization of a satisfactory return thereon. In connection therewith, the Company contracted with ICII for the performance of such servicing functions. In the first quarter of 1996, ICII contracted to sell substantially all of its mortgage servicing portfolio and began to eliminate a substantial portion of its mortgage servicing department. In response to ICII's decision to exit the mortgage servicing business, ICIFC is in the process of negotiations with another third party sub-servicer. As part of this process, the Company may in the future form a separate collection group to assist a new sub-servicer in the servicing of these loans. See "--Servicing and Master Servicing."</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3" w:name="page54"/>
    <w:bookmarkEnd w:id="53"/>
    <w:p>
      <w:pPr>
        <w:ind w:right="1999" w:firstLine="211"/>
        <w:spacing w:after="0" w:line="270" w:lineRule="auto"/>
        <w:rPr>
          <w:sz w:val="20"/>
          <w:szCs w:val="20"/>
          <w:color w:val="auto"/>
        </w:rPr>
      </w:pPr>
      <w:r>
        <w:rPr>
          <w:rFonts w:ascii="Courier New" w:cs="Courier New" w:eastAsia="Courier New" w:hAnsi="Courier New"/>
          <w:sz w:val="16"/>
          <w:szCs w:val="16"/>
          <w:color w:val="auto"/>
        </w:rPr>
        <w:t>In connection with the securitization of "B" and "C" grade loans, the levels of subordination required as credit enhancement for the more senior classes of securities issued in connection therewith are higher than those with respect to its "A" grade non-conforming loans. Similarly, in connection with the securitization of mortgage loans secured by second liens, the levels of subordination required as credit enhancement for the more senior classes of securities issued in connection therewith are higher than those with respect to its mortgage loans secured by first liens. Thus, to the extent that the Company retains any of the subordinated securities created in connection with such securitizations and losses with respect to such pools of "B" and "C" grade loans or mortgage loans secured by second liens are higher than expected, the Company's future earnings could be adversely affected.</w:t>
      </w:r>
    </w:p>
    <w:p>
      <w:pPr>
        <w:spacing w:after="0" w:line="39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Seller Eligibility Requirements. The mortgage loans acquired by the Conduit Operations are originated by various sellers, including savings and loan associations, banks, mortgage bankers and other mortgage brokers. Sellers are required to meet certain regulatory, financial, insurance and performance requirements established by ICIFC before they are eligible to participate in its mortgage loan purchase program, and must submit to periodic reviews by ICIFC to ensure continued compliance with these requirements. ICIFC's current criteria for seller participation generally include a minimum tangible net worth requirement ($300,000 in its non-delegated program, $500,000 in its partially delegated program and $1 million in its fully delegated program, as described below), approval as a FNMA or FHLMC Seller/Servicer in good standing and a HUD approved mortgagee in good standing or a financial institution that is insured by the FDIC or comparable federal or state agency, and that the seller is examined by a federal or state authority. In addition, sellers are required to have comprehensive loan origination quality control procedures. In connection with its qualification, each seller enters into an agreement that generally provides for recourse by ICIFC against the seller in the event of a breach of representations or warranties made by the seller with respect to mortgage loans sold to ICIFC, any fraud or misrepresentation during the mortgage loan origination process, and upon early payment default on such loans. As of March 31, 1996, 223 sellers had been approved by ICIFC as being eligible to participate in the Conduit Operations.</w:t>
      </w: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COMMITMENT PROCESS AND PRICING</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Master Commitments. As part of its marketing strategy, ICIFC has established mortgage loan purchase commitments ("Master Commitments") with sellers that, subject to certain conditions, entitle the seller to sell and obligate ICIFC to purchase a specified dollar amount of non-conforming mortgage loans over a period generally ranging from six months to one year. The terms of each Master Commitment specify whether a seller may sell loans to ICIFC on a mandatory, best efforts or optional basis, or a combination thereof. Master Commitments do not generally obligate ICIFC to purchase loans at a specific price, but rather provide the seller with a future outlet for the sale of its originated loans based on ICIFC's quoted prices at the time of purchase. Master Commitments specify the types of mortgage loans the seller is entitled to sell to ICIFC and generally range from $2 million to $50 million in aggregate committed principal amount. The provisions of ICIFC's Seller/Servicer Guide are incorporated in each of the Conduit Operations' Master Commitments and may be modified by negotiations between the parties. In addition, there are individualized Master Commitment options available to sellers, which include alternative pricing structures or specialized loan products. In order to obtain a Master Commitment, a seller may be asked to pay a non-refundable up front or non-delivery fee, or both, to the Company. As of March 31, 1996, ICIFC had outstanding Master Commitments with 28 sellers to purchase mortgage loans in the aggregate principal amount of $595 million over periods ranging from six months to one year, of which $93.1 million were committed to be purchased pursuant to rate-locks (as defined below).</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Sellers who have entered into the aforementioned Master Commitments are expected to continue to sell mortgage loans to the Conduit Operations by executing individual, bulk or other rate-locks (each, a "rate-lock"). Each rate-lock, in conjunction with the related Master Commitment, specifies the terms of the related sale, including the quantity and price of the mortgage loans or the formula by which the price will be determined, the rate-lock type and the delivery requirements. Historically, the up front fee paid by a seller to ICIFC to obtain a</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969" w:gutter="0" w:footer="0" w:header="0"/>
        </w:sectPr>
      </w:pPr>
    </w:p>
    <w:bookmarkStart w:id="54" w:name="page55"/>
    <w:bookmarkEnd w:id="54"/>
    <w:p>
      <w:pPr>
        <w:jc w:val="both"/>
        <w:ind w:right="2319"/>
        <w:spacing w:after="0" w:line="279" w:lineRule="auto"/>
        <w:rPr>
          <w:sz w:val="20"/>
          <w:szCs w:val="20"/>
          <w:color w:val="auto"/>
        </w:rPr>
      </w:pPr>
      <w:r>
        <w:rPr>
          <w:rFonts w:ascii="Courier New" w:cs="Courier New" w:eastAsia="Courier New" w:hAnsi="Courier New"/>
          <w:sz w:val="16"/>
          <w:szCs w:val="16"/>
          <w:color w:val="auto"/>
        </w:rPr>
        <w:t>Master Commitment on a mandatory delivery basis has often been refunded pro rata as the seller delivers loans pursuant to rate-locks. Any remaining fee after the Master Commitment expires is retained by the Conduit Operations.</w:t>
      </w:r>
    </w:p>
    <w:p>
      <w:pPr>
        <w:spacing w:after="0" w:line="17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Bulk and Other Rate-Locks. ICIFC also acquires mortgage loans from sellers that are not purchased pursuant to Master Commitments. These purchases may be made on a bulk or individual rate-lock basis. Bulk rate-locks obligate the seller to sell and ICIFC to purchase a specific group of loans, generally ranging from $1 million to $50 million in aggregate committed principal amount, at set prices on specific dates. Bulk rate-locks enable ICIFC to acquire substantial quantities of loans on a more immediate basis. The specific pricing, delivery and program requirements of these purchases are determined by negotiation between the parties but are generally in accordance with the provisions of ICIFC's Seller/Servicer Guide. Due to the active presence of investment banks and other substantial investors in this area, bulk pricing is extremely competitive. Loans are also purchased from individual sellers (typically smaller originators of mortgage loans) who do not wish to sell pursuant to either a Master Commitment or bulk rate-lock. The terms of these individual purchases are based primarily on ICIFC's Seller/Servicer Guide and standard pricing provisions, and are offered on a mandatory basis.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Mandatory, Best Efforts and Optional Rate-Locks. Mandatory rate-locks require the seller to deliver a specified quantity of loans to ICIFC over a specified period of time regardless of whether the loans are actually originated by the seller or whether circumstances beyond the seller's control prevent delivery. ICIFC is required to purchase all loans covered by the rate-lock at prices established at the time of rate-lock. If the seller is unable to deliver the specified loans, it may instead deliver comparable loans approved by ICIFC within the specified delivery time. Failure to deliver the specified mortgage loans or acceptable substitute loans under a mandatory rate-lock obligates the seller to pay ICIFC a penalty, and, if ICIFC's mortgage loan yield requirements have declined, the present value of the difference in yield ICIFC would have obtained on the mortgage loans that the seller agreed to deliver and the yield available on similar mortgage loans subject to mandatory rate-lock issued at the time of such failure to deliver. In contrast, mortgage loans sold on a best efforts basis must be delivered to ICIFC only if they are actually originated by the seller. The best efforts rate-lock provides sellers with an effective way to sell loans during the origination process without any penalty for failure to deliver. Optional rate-locks gives the seller the option to deliver mortgage loans to ICIFC at a fixed price on a future date and requires the payment of up front fees to ICIFC. Any up front fees paid in connection with best efforts and optional rate-locks are retained by ICIFC whether or not the loans are delivered.</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Pricing. ICIFC sets purchase prices at least once every business day for mortgage loans it acquires for its Conduit Operations based on prevailing market conditions. Different prices are established for the various types of loans, rate-lock periods and types of rate-locks (mandatory, best efforts or optional). ICIFC's standard pricing is based on the anticipated price it receives upon sale or securitization of the loans, the anticipated interest spread realized during the accumulation period, the targeted profit margin and the anticipated issuance, credit enhancement and ongoing administrative costs associated with such sale or securitization. The credit enhancement cost component of ICIFC's pricing is established for individual mortgage loans or pools of mortgage loans based upon the characteristics of such loan or loan pool. As the characteristics of the loan or loan pool vary, this cost component is correspondingly adjusted upward or downward to reflect the variation. ICIFC's adjustments are reviewed periodically by management to reflect changes in the costs of credit enhancement. Adjustments to ICIFC's standard pricing may also be negotiated on an individual basis under Master Commitments or bulk or individual rate-locks with sellers. See "-- Securitization and Sale Process."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Following the issuance of a specific rate-lock, ICIFC is subject to the risk of interest rate fluctuations and enters into hedging transactions to diminish such risk. Hedging transactions may include mandatory or optional forward sales of mortgage loans or mortgage-backed securities, interest rate caps, floors and swaps, mandatory forward sales, mandatory or optional sales of futures and other financial futures transactions. The nature and quantity of hedging transactions are determined by the management of ICIFC based on various factors, including market conditions and the expected volume of mortgage loan purchases. Gains and losses on hedging transactions are recorded as incurred.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59" w:gutter="0" w:footer="0" w:header="0"/>
        </w:sectPr>
      </w:pPr>
    </w:p>
    <w:bookmarkStart w:id="55" w:name="page56"/>
    <w:bookmarkEnd w:id="55"/>
    <w:p>
      <w:pPr>
        <w:ind w:left="120"/>
        <w:spacing w:after="0"/>
        <w:rPr>
          <w:sz w:val="20"/>
          <w:szCs w:val="20"/>
          <w:color w:val="auto"/>
        </w:rPr>
      </w:pPr>
      <w:r>
        <w:rPr>
          <w:rFonts w:ascii="Courier New" w:cs="Courier New" w:eastAsia="Courier New" w:hAnsi="Courier New"/>
          <w:sz w:val="18"/>
          <w:szCs w:val="18"/>
          <w:color w:val="auto"/>
        </w:rPr>
        <w:t>UNDERWRITING AND QUALITY CONTROL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Purchase Guidelines. ICIFC has developed comprehensive purchase guidelines for the acquisition of mortgage loans by the Conduit Operations. Subject to certain exceptions, each loan purchased must conform to the loan eligibility requirements specified in ICIFC's Seller/Servicer Guide with respect to, among other things, loan amount, type of property, loan-to-value ratio, type and amount of insurance, credit history of the borrower, income ratios, sources of funds, appraisals and loan documentation. ICIFC also performs a legal documentation review prior to the purchase of any mortgage loan. ICIFC either delegates the underwriting function to its correspondents or performs the function itself. Additionally, for mortgage loans that are underwritten by contract underwriters, ICIFC does not perform a full underwriting review prior to purchase, but instead relies on the credit review and analysis performed by the contract underwriter, as well as its own pre-purchase eligibility process to ensure that the loan meets the program acceptance guidelines and a post-purchase quality control review.</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Underwriting Methods. ICIFC has established a delegated underwriting program, which is similar in concept to the delegated underwriting programs established by FNMA and FHLMC. Under this program, qualified sellers are required to underwrite loans in compliance with ICIFC's underwriting guidelines as set forth in ICIFC's Seller/Servicer Guide or an individual Master Commitment. As part of the approval process for a seller to become a delegated underwriter, the seller must submit a small sample of loans for a pre-purchase quality control review by ICIFC. If the submitted loans comply with the Company's underwriting guidelines and the seller meets ICIFC's financial and performance criteria, the seller will be approved for the delegated underwriting program. In connection with its approval, the seller must represent and warrant to ICIFC that all mortgage loans sold to ICIFC will comply with ICIFC's underwriting guidelines. The current financial, historical loan quality and other criteria for seller participation in this program generally include a minimum net worth requirement and verification of the</w:t>
      </w:r>
    </w:p>
    <w:p>
      <w:pPr>
        <w:spacing w:after="0" w:line="18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seller's good standing with FNMA and FHLMC. As of March 31, 1996, sellers had qualified by ICIFC for participation in the delegated underwriting program.</w:t>
      </w:r>
    </w:p>
    <w:p>
      <w:pPr>
        <w:spacing w:after="0" w:line="209"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delegated underwriting program consists of two separate subprograms. ICIFC's principal delegated underwriting subprogram is a fully delegated program designed for loan sellers that meet higher financial and performance criteria than those applicable to sellers generally. Qualifying sellers have delegated underwriting authority for all mortgage products under this subprogram, except for "B" and "C" grade loans. The second subprogram is a partially delegated program pursuant to which sellers only have delegated underwriting authority for ICIFC's conforming mortgage loan products.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Mortgage loans acquired under ICIFC's non-delegated underwriting program are either fully underwritten by ICIFC's underwriting staff or involve the use of contract underwriters. ICIFC has contracted with several national mortgage insurance firms that conduct contract underwriting for mortgage loan acquisitions by ICIFC. Under these contracts, ICIFC relies on the credit review and analysis of the contract underwriter, as well as its own pre-purchase eligibility review to ensure that the loan meets program acceptance, its own follow-up quality control procedures and the representations and warranties of the contract underwriter.</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Loans that are not acquired under either delegated or contract underwriter methods are fully underwritten by ICIFC's underwriting staff. In such cases, ICIFC performs a full credit review and analysis to ensure compliance with its loan eligibility requirements. This review specifically includes, among other things, an analysis of the underlying property and associated appraisal and an examination of the credit, employment and income history of the borrower. Under all of these methods, loans are purchased only after completion of a legal documentation and eligibility criteria review.</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Although the delegated underwriting program could be deemed to present inherently greater risks due to the lower level of individual loan review, the Company believes that this risk is mitigated by the higher net worth requirements applicable to loan sellers eligible for the delegated underwriting program and ICIFC's eligibility control prior to purchase, thereby enhancing the financial support for the representations and warranties made by such sellers. ICIFC also relies on such sellers' experience and demonstrated performance with the government-sponsored entities referred to above with respect to the delegated underwriting program.</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59" w:gutter="0" w:footer="0" w:header="0"/>
        </w:sectPr>
      </w:pPr>
    </w:p>
    <w:bookmarkStart w:id="56" w:name="page57"/>
    <w:bookmarkEnd w:id="56"/>
    <w:p>
      <w:pPr>
        <w:ind w:right="1999" w:firstLine="211"/>
        <w:spacing w:after="0" w:line="238" w:lineRule="auto"/>
        <w:rPr>
          <w:sz w:val="20"/>
          <w:szCs w:val="20"/>
          <w:color w:val="auto"/>
        </w:rPr>
      </w:pPr>
      <w:r>
        <w:rPr>
          <w:rFonts w:ascii="Courier New" w:cs="Courier New" w:eastAsia="Courier New" w:hAnsi="Courier New"/>
          <w:sz w:val="18"/>
          <w:szCs w:val="18"/>
          <w:color w:val="auto"/>
        </w:rPr>
        <w:t>Under all of ICIFC's underwriting methods, loan documentation requirements for verifying the borrowers' income and assets, vary according to loan-to-value ratios and other factors. This variation is necessary to be competitive and responsive to the needs of the non-conforming mortgage loan sellers. Generally, as the standards for required documentation are lowered, borrowers' down payment requirements are increased and the required loan-to-value ratios are decreased. These types of loans with less documentation are reviewed on a risk analysis underwriting basis, similar to the underwriting analysis utilized by mortgage insurance companies. Reduced documentation loans require the borrower to have a stronger credit history and larger cash reserves to show a savings pattern history, and the appraisal of the property is validated by either an enhanced desk or field review. Within the underwriting philosophy of the ICIFC guidelines, the underwriters utilize a "risk analysis" approach to determine the borrower's ability and willingness to repay the debt and to determine if the property taken as security has sufficient value to recover the debt in the event that the loan defaults. Each loan is reviewed for compensating factors (i.e., credit reports, sufficient assets, appraisal, job stability, savings pattern), and overall compensating factors are reviewed to fully analyze the risk. Full documentation is requested if it is the judgment of the underwriter that the compensating factors are insufficient for loan approval.</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Quality Control. Ongoing quality control reviews are conducted by ICIFC to ensure that the mortgage loans purchased meet its quality standards. The type and extent of the quality control review depend on the nature of seller and the characteristics of the loans. Loans acquired under the delegated underwriting program are reviewed in accordance with the quality control procedures described above. ICIFC reviews on a post-purchase basis a portion of all loans submitted with delegated underwriting to determine that the loans were purchased in compliance with the guidelines set forth by ICIFC. ICIFC reviews a higher portion of certain categories of mortgage loans, such as loans with reduced documentation, loans with higher loan-to-value ratios (above 80%), cash out refinances, lender optional insurance (self insurance) and loans above $500,000 in principal amount. In performing a quality control review on a loan, ICIFC analyzes the underlying property appraisal and examines the credit and income history of the borrower. In addition, all documents submitted in connection with the purchase of the loans, including insurance policies, title policies, deeds of trust or mortgages and promissory notes, are examined for compliance with ICIFC's guidelines and to ensure compliance to state and federal regulations.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SECURITIZATION AND SALE PROCESS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General. The Conduit Operations primarily uses a warehouse line of credit from IWLG and equity to finance the acquisition of mortgage loans from correspondents. When a sufficient volume of mortgage loans with similar characteristics has been accumulated, generally $100 million to $200 million, ICIFC will securitize them through the issuance of mortgage-backed securities in the form of a REMIC or resell them in bulk whole loan sales. The period between the time ICIFC commits to purchase a mortgage loan and the time it sells or securitizes such mortgage loan generally range from 10 to 90 days, depending on certain factors, including the length of the purchase commitment period, the loan volume by product type and the securitization process.</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Any decision to form REMICs or to sell the loans in bulk by ICIFC is influenced by a variety of factors. REMIC transactions are generally accounted for as sales of the mortgage loans and can eliminate or minimize any long-term residual investment in such loans. REMIC securities consist of one or more classes of "regular interests" and a single class of "residual interest." The regular interests are tailored to the needs of investors and may be issued in multiple classes with varying maturities, average lives and interest rates. These regular interests are predominantly senior securities but, in conjunction with providing credit enhancement, may be subordinated to the rights of other regular interests. The residual interest represents the remainder of the cash flows from the mortgage loans (including, in some instances, reinvestment income) over the amounts required to be distributed to the regular interests. In some cases, the regular interests may be structured so that there is no significant residual cash flow, thereby allowing ICIFC to sell its entire interest in the mortgage loans. As a result, in some cases, all of the capital originally invested in the mortgage loans by the Company is redeployed in the Conduit Operations. As part of its operations, ICIFC may retain regular and residual interests on a short-term or long-term basis. In the first quarter of 1996, the Conduit Operations created its first Post-Contribution Transaction REMIC security composed of $175.4 million of fixed rate non-conforming mortgage loans.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0" w:gutter="0" w:footer="0" w:header="0"/>
        </w:sectPr>
      </w:pPr>
    </w:p>
    <w:bookmarkStart w:id="57" w:name="page58"/>
    <w:bookmarkEnd w:id="57"/>
    <w:p>
      <w:pPr>
        <w:ind w:right="1999" w:firstLine="211"/>
        <w:spacing w:after="0" w:line="270" w:lineRule="auto"/>
        <w:rPr>
          <w:sz w:val="20"/>
          <w:szCs w:val="20"/>
          <w:color w:val="auto"/>
        </w:rPr>
      </w:pPr>
      <w:r>
        <w:rPr>
          <w:rFonts w:ascii="Courier New" w:cs="Courier New" w:eastAsia="Courier New" w:hAnsi="Courier New"/>
          <w:sz w:val="16"/>
          <w:szCs w:val="16"/>
          <w:color w:val="auto"/>
        </w:rPr>
        <w:t>Credit Enhancement. Any REMICs or CMOs created by the Conduit Operations or the Long-Term Investment Operations are expected to be structured so that one or more of the classes of such securities are rated investment grade by at least one nationally recognized rating agency. In contrast to Agency Certificates in which the principal and interest payments are guaranteed by the U.S. government or an agency thereof, securities created by the Conduit Operations or the Long-Term Investment Operations do not benefit from any such guarantee. The ratings for the Conduit Operations' mortgage-backed securities or the Long Term Investment Operations' CMOs are based upon the perceived credit risk by the applicable rating agency of the underlying mortgage loans, the structure of the securities, and the associated level of credit enhancement. Credit enhancement is designed to provide protection to the security holders in the event of borrower defaults and other losses including those associated with fraud or reductions in the principal balances or interest rates on mortgage loans as required by law or a bankruptcy court.</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Conduit Operations or the Long-Term Investment Operations can utilize multiple forms of credit enhancement, including special hazard insurance, private mortgage pool insurance reserve funds, letters of credit, surety bonds, over-collateralization and subordination or any combination thereof. In determining whether to provide credit enhancement through subordination or other credit enhancement methods, the Conduit Operations or the Long Term Investment Operations take into consideration the costs associated with each method. The Company's Post-Contribution Transaction $175.4 million REMIC security and $296.3 million CMO financing were credit enhanced by a mortgage pool insurance bringing the ratings of the senior bonds issued in connection therewith to the highest rating established by a nationally recognized rating agency.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series of mortgage-backed securities is typically fully payable from the mortgage assets underlying such series, and the recourse of investors is limited to such assets and any associated credit enhancement features, such as senior/subordinated structures. To the extent the Company holds subordinated securities, a form of credit enhancement, the Company generally bears all losses prior to the related senior security holders. Generally, any losses in excess of the credit enhancement obtained are borne by the security holders. Except in the case of a breach of the standard representations and warranties made by the Company when mortgage loans are securitized, such securities are non-recourse to the Company. Typically, the Company has recourse to the sellers of loans for any such breaches, but there are no assurance of the sellers' abilities to honor their respective obligations.</w:t>
      </w:r>
    </w:p>
    <w:p>
      <w:pPr>
        <w:spacing w:after="0" w:line="18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Ratings of mortgage-backed securities are based primarily upon the characteristics of the pool of underlying mortgage loans and associated credit enhancement. A decline in the credit quality of such pools (including delinquencies and/or credit losses above initial expectations), or of any third party credit enhancer, or adverse developments in general economic trends affecting real estate values or the mortgage industry, could result in downgrades of such ratings.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WAREHOUSE LENDING OPERATIONS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38" w:lineRule="auto"/>
        <w:rPr>
          <w:sz w:val="20"/>
          <w:szCs w:val="20"/>
          <w:color w:val="auto"/>
        </w:rPr>
      </w:pPr>
      <w:r>
        <w:rPr>
          <w:rFonts w:ascii="Courier New" w:cs="Courier New" w:eastAsia="Courier New" w:hAnsi="Courier New"/>
          <w:sz w:val="18"/>
          <w:szCs w:val="18"/>
          <w:color w:val="auto"/>
        </w:rPr>
        <w:t>The Company's third line of business is its Warehouse Lending Operations. Such operations primarily consist of warehouse lending for approved mortgage banks acting as correspondents of ICIFC and other mortgage banks. Warehouse lending facilities typically provide short-term revolving lines of credit to finance mortgage loans from the time of closing the loan to the time of its sale or other settlement with the pre-approved investor. Generally, the non-conforming mortgage loans funded with such warehouse lines of credit are acquired by ICIFC. The specific terms of any warehouse line of credit, including the amount, are determined based upon the financial strength, historical performance and other qualifications of the borrower. As a warehouse lender, IWLG is a secured creditor of the mortgage bankers and brokers to which it extends credit and subject to the risks inherent in that status, including the risks of borrower default and bankruptcy. Any claim of IWLG as a secured lender in a bankruptcy proceeding may be subject to adjustment and delay.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969" w:gutter="0" w:footer="0" w:header="0"/>
        </w:sectPr>
      </w:pPr>
    </w:p>
    <w:bookmarkStart w:id="58" w:name="page59"/>
    <w:bookmarkEnd w:id="58"/>
    <w:p>
      <w:pPr>
        <w:ind w:right="1999" w:firstLine="211"/>
        <w:spacing w:after="0" w:line="271" w:lineRule="auto"/>
        <w:rPr>
          <w:sz w:val="20"/>
          <w:szCs w:val="20"/>
          <w:color w:val="auto"/>
        </w:rPr>
      </w:pPr>
      <w:r>
        <w:rPr>
          <w:rFonts w:ascii="Courier New" w:cs="Courier New" w:eastAsia="Courier New" w:hAnsi="Courier New"/>
          <w:sz w:val="16"/>
          <w:szCs w:val="16"/>
          <w:color w:val="auto"/>
        </w:rPr>
        <w:t>In addition to providing warehouse lines to certain of the Conduit Operations' correspondents, IWLG provided a $600 million warehouse line to ICIFC. The terms of the warehouse line are based on Bank of America's prime rate with advance rates between 90% and 98% of the fair value of the mortgage loans outstanding. The warehouse line balances outstanding on IWLG's balance sheet are structured for REIT purposes as real estate assets that qualify under the REIT asset tests and the income derived qualifies under the 75% gross income test. The warehouse lines are non-recourse and IWLG can only look to the sale or liquidation of the mortgage loans as a source of repayment.</w:t>
      </w:r>
    </w:p>
    <w:p>
      <w:pPr>
        <w:spacing w:after="0" w:line="184"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At March 31, 1996, the Company had $527.7 million of warehouse lines of credit outstanding to nine borrowers. IWLG finances its Warehouse Lending Operations through reverse repurchase agreements and equity. At March 31, 1996, IWLG had entered into facilities in the principal amount of $323.0 million and $300.0 million with two investment banks.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FMAC</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Company intends to use a portion of the net proceeds of this Offering, together with the proceeds of other financing, to establish up to a</w:t>
      </w:r>
    </w:p>
    <w:p>
      <w:pPr>
        <w:ind w:right="2319"/>
        <w:spacing w:after="0" w:line="237" w:lineRule="auto"/>
        <w:rPr>
          <w:sz w:val="20"/>
          <w:szCs w:val="20"/>
          <w:color w:val="auto"/>
        </w:rPr>
      </w:pPr>
      <w:r>
        <w:rPr>
          <w:rFonts w:ascii="Courier New" w:cs="Courier New" w:eastAsia="Courier New" w:hAnsi="Courier New"/>
          <w:sz w:val="18"/>
          <w:szCs w:val="18"/>
          <w:color w:val="auto"/>
        </w:rPr>
        <w:t>$100 million warehouse facility with FMAC at terms to be negotiated in an arms-length transaction. The Company intends to finance advances under this warehouse facility through borrowings under reverse repurchase agreements, which it expects to establish with one or more third party institutional lenders.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FMAC makes long-term, fixed rate loans to established franchisees of major restaurant franchise concepts, such as Burger King, Taco Bell, KFC, TGI Friday's, Wendy's, Pizza Hut and Hardee's. The loans are then securitized into investment grade structures and sold to institutional investors. In parallel with the accumulation of the collateral and the structuring of the securities sold in each securitization, independent rating agencies are retained to rate each series of securities issued which securities have, in each instance, received investment grade ratings (BBB- and above).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the nine months ended March 31, 1996, loans by FMAC to individual credits ranged from approximately $440,000 to $46 million. For the nine month period ended March 31, 1996, FMAC originated or acquired $264.0 million and securitized $105.2 million of franchise mortgage loans.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HEDGING</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Company conducts certain hedging activities in connection with both its Long-Term Investment Operations and its Conduit Operations.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Long-term Investment Operations. To the extent consistent with IMH's election to qualify as a REIT, the Company follows a hedging program intended to protect against interest rate changes and to enable the Company to earn net interest income in periods of generally rising, as well as declining or static, interest rates. Specifically, the Company's hedging program is formulated with the intent to offset the potential adverse effects resulting from (1) interest rate adjustment limitations on its mortgage loans and securities backed by mortgage loans and (2) the differences between the interest rate adjustment indices and interest rate adjustment periods of its adjustable rate mortgage loans and mortgage-backed securities secured by such loans and related borrowings. As part of its hedging program, the Company also monitors on an ongoing basis the prepayment risks that arise in fluctuating interest rate environments.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hedging program encompasses a number of procedures. First, the Company structures its commitments to purchase mortgage loans so that the mortgage loans purchased will have interest rate adjustment indices and adjustment periods that, on an aggregate basis, correspond as closely as practicable to the interest rate adjustment indices and interest rate adjustment periods of the anticipated financing source. In addition, the Company will structure its borrowing agreements to have a range of different maturities (although substantially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9" w:name="page60"/>
    <w:bookmarkEnd w:id="59"/>
    <w:p>
      <w:pPr>
        <w:ind w:right="1999"/>
        <w:spacing w:after="0" w:line="237" w:lineRule="auto"/>
        <w:rPr>
          <w:sz w:val="20"/>
          <w:szCs w:val="20"/>
          <w:color w:val="auto"/>
        </w:rPr>
      </w:pPr>
      <w:r>
        <w:rPr>
          <w:rFonts w:ascii="Courier New" w:cs="Courier New" w:eastAsia="Courier New" w:hAnsi="Courier New"/>
          <w:sz w:val="18"/>
          <w:szCs w:val="18"/>
          <w:color w:val="auto"/>
        </w:rPr>
        <w:t>all will have maturities of less than one year). As a result, the Company adjusts the average maturity of its borrowings on an ongoing basis by changing the mix of maturities as borrowings come due and are renewed. In this way, the Company minimizes any differences between interest rate adjustment periods of mortgage loans and related borrowings that may occur due to prepayments of mortgage loans or other factors.</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may occasionally purchase interest rate caps to limit or partially offset adverse changes in interest rates associated with its borrowings. In a typical interest rate cap agreement, the cap purchaser makes an initial lump sum cash payment to the cap seller in exchange for the seller's promise to make cash payments to the purchaser on fixed dates during the contract term if prevailing interest rates exceed the rate specified in the contract. In this way, the Company generally hedges as much of the interest rate risk arising from lifetime rate caps on its mortgage loans and from periodic rate and/or payment caps as the Company determines is in the best interests of the Company, given the cost of such hedging transactions and the need to maintain IMH's status as a REIT. Such periodic caps on the Company's mortgage loans may also be hedged by the purchase of mortgage derivative securities. Mortgage derivative securities can be effective hedging instruments in certain situations as the value and yields of some of these instruments tend to increase as interest rates rise and tend to decrease in value and yields as interest rates decline, while the experience for others is the converse. The Company intends to limit its purchases of mortgage derivative securities to investments that qualify as Qualified REIT Assets or Qualified Hedges so that income from such investments will constitute qualifying income for purposes of the 95% and 75% gross income tests. To a lesser extent, the Company on behalf of its Conduit Operations enters into interest rate swap agreements, buys and sells financial futures contracts and options on financial futures contracts and trade forward contracts as a hedge against future interest rate changes; however, the Company will not invest in these instruments unless the Company and the Manager are exempt from the registration requirements of the Commodity Exchange Act or otherwise comply with the provisions of that Act. The REIT provisions of the Code may restrict the Company's ability to purchase certain instruments and may severely restrict the Company's ability to employ other strategies. See "Federal Income Tax Considerations." In all its hedging transactions, the Company deals only with counterparties that the Company believes are sound credit risks. During the three months ended March 31, 1996 and the year ended December 31, 1995, the Company had not purchased any interest rate caps.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Conduit Operations. In conducting its Conduit Operations, ICIFC is subject to the risk of rising mortgage interest rates between the time it commits to purchase mortgage loans at a fixed price and the time it sells or securitizes those mortgage loans. To mitigate this risk, the Company, through ICIFC, enters into transactions designed to hedge interest rate risks, which may include mandatory and optional forward selling of mortgage loans or mortgage-backed securities, interest rate caps, floors and swaps, and buying and selling of futures and options on futures. The nature and quantity of these hedging transactions are determined by the management of ICIFC based on various factors, including market conditions and the expected volume of mortgage loan purchases.</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Costs and Limitations. The Company has implemented a hedging program designed to provide a level of protection against interest rate risks. However, an effective hedging strategy is complex, and no hedging strategy can completely insulate the Company from interest rate risks. Moreover, as noted above, certain of the Federal income tax requirements that IMH must satisfy to qualify as a REIT limit the Company's ability to fully hedge its interest rate risks. The Company monitors carefully, and may have to limit, its hedging strategies to assure that it does not realize excessive hedging income or hold hedging assets having excess value in relation to total assets, which would result in IMH's disqualification as a REIT or, in the case of excess hedging income, the payment of a penalty tax for failure to satisfy certain REIT income tests under the Code, provided such failure was for reasonable cause. See "Federal Income Tax Considerations."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In addition, hedging involves transaction and other costs, and such costs increase dramatically as the period covered by the hedging protection increases and also increase in periods of rising and fluctuating interest rates. Therefore, the Company may be prevented from effectively hedging its interest rate risks, without significantly reducing the Company's return on equity.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362"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SERVICING AND MASTER SERVICING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ICIFC currently acquires substantially all of its mortgage loans on a "servicing released" basis and thereby acquires the servicing rights. ICIFC subcontracts all of its servicing obligations under such loans to ICII pursuant to a sub-servicing agreement. The Company believes that the terms of such agreement are comparable to industry standards. In the first quarter of 1996, ICII contracted to sell substantially all of its mortgage servicing portfolio and began to eliminate a substantial portion of its mortgage servicing department. In response to ICII's decision to exit the mortgage servicing business, ICIFC is in the process of negotiations with another third party sub-servicer. ICIFC expects that the transfer of servicing responsibilities will take place in June 1996. However, there are no assurances that ICIFC will be able to complete the transfer by this date. Servicing includes collecting and remitting loan payments, making required advances, accounting for principal and interest, holding escrow or impound funds for payment of taxes and insurance, if applicable, making required inspections of the mortgaged property, contacting delinquent borrowers and supervising foreclosures and property dispositions in the event of unremedied defaults in accordance with the Company's guidelines. Servicing fees generally range from 0.25% to 0.375% per annum on the declining principal balances of the loans serviced.</w:t>
      </w:r>
    </w:p>
    <w:p>
      <w:pPr>
        <w:spacing w:after="0" w:line="210"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following table sets forth certain information regarding the ICIFC's servicing portfolio of loans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8"/>
                <w:szCs w:val="18"/>
                <w:color w:val="auto"/>
                <w:w w:val="97"/>
              </w:rPr>
              <w:t>PERIOD FROM</w:t>
            </w:r>
          </w:p>
        </w:tc>
      </w:tr>
      <w:tr>
        <w:trPr>
          <w:trHeight w:val="203"/>
        </w:trPr>
        <w:tc>
          <w:tcPr>
            <w:tcW w:w="4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NOVEMBER 20, 1995</w:t>
            </w:r>
          </w:p>
        </w:tc>
      </w:tr>
      <w:tr>
        <w:trPr>
          <w:trHeight w:val="203"/>
        </w:trPr>
        <w:tc>
          <w:tcPr>
            <w:tcW w:w="4480" w:type="dxa"/>
            <w:vAlign w:val="bottom"/>
          </w:tcPr>
          <w:p>
            <w:pPr>
              <w:spacing w:after="0"/>
              <w:rPr>
                <w:sz w:val="17"/>
                <w:szCs w:val="17"/>
                <w:color w:val="auto"/>
              </w:rPr>
            </w:pP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THROUGH</w:t>
            </w:r>
          </w:p>
        </w:tc>
      </w:tr>
      <w:tr>
        <w:trPr>
          <w:trHeight w:val="203"/>
        </w:trPr>
        <w:tc>
          <w:tcPr>
            <w:tcW w:w="4480" w:type="dxa"/>
            <w:vAlign w:val="bottom"/>
          </w:tcPr>
          <w:p>
            <w:pPr>
              <w:spacing w:after="0"/>
              <w:rPr>
                <w:sz w:val="17"/>
                <w:szCs w:val="17"/>
                <w:color w:val="auto"/>
              </w:rPr>
            </w:pP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MARCH 31, 1996</w:t>
            </w: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1995</w:t>
            </w:r>
          </w:p>
        </w:tc>
      </w:tr>
      <w:tr>
        <w:trPr>
          <w:trHeight w:val="203"/>
        </w:trPr>
        <w:tc>
          <w:tcPr>
            <w:tcW w:w="4480" w:type="dxa"/>
            <w:vAlign w:val="bottom"/>
          </w:tcPr>
          <w:p>
            <w:pPr>
              <w:spacing w:after="0"/>
              <w:rPr>
                <w:sz w:val="17"/>
                <w:szCs w:val="17"/>
                <w:color w:val="auto"/>
              </w:rPr>
            </w:pP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rPr>
                <w:sz w:val="17"/>
                <w:szCs w:val="17"/>
                <w:color w:val="auto"/>
              </w:rPr>
            </w:pPr>
          </w:p>
        </w:tc>
        <w:tc>
          <w:tcPr>
            <w:tcW w:w="3860" w:type="dxa"/>
            <w:vAlign w:val="bottom"/>
            <w:gridSpan w:val="2"/>
          </w:tcPr>
          <w:p>
            <w:pPr>
              <w:jc w:val="right"/>
              <w:ind w:right="119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w w:val="98"/>
              </w:rPr>
              <w:t>Beginning servicing portfolio.............</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$ 512.1</w:t>
            </w: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 (1)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Loans added to the servicing portfolio....</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280.5</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540.6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sold servicing released and</w:t>
            </w: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principal paydowns.......................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(140.7)</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Ending servicing portfolio................</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$ 651.9</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$512.1</w:t>
            </w:r>
          </w:p>
        </w:tc>
      </w:tr>
      <w:tr>
        <w:trPr>
          <w:trHeight w:val="203"/>
        </w:trPr>
        <w:tc>
          <w:tcPr>
            <w:tcW w:w="4480" w:type="dxa"/>
            <w:vAlign w:val="bottom"/>
          </w:tcPr>
          <w:p>
            <w:pPr>
              <w:spacing w:after="0"/>
              <w:rPr>
                <w:sz w:val="17"/>
                <w:szCs w:val="17"/>
                <w:color w:val="auto"/>
              </w:rPr>
            </w:pP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5"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Contribution Transaction, ICII retained ICIFC's servicing portfolio at November 20, 1995.</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the future, ICIFC expects to offer its sellers of mortgage loans the right to retain servicing. In the case of servicing retained mortgage loans the Company will enter into agreements (the "Servicing Agreements") with the sellers of mortgage loans, to service the mortgage loans they sell to the Company. Each Servicing Agreement will require the servicer to service the Company's mortgage loans in a manner generally consistent with FNMA and FHLMC guidelines and procedures and with any servicing guidelines promulgated by the Company. Each servicer will collect and remit principal and interest payments, administer mortgage escrow accounts, submit and pursue insurance claims and initiate and supervise foreclosure proceedings on the mortgage loans so serviced. Each servicer will also provide accounting and reporting services required by the Company for such loans. The servicer will be required to follow such collection procedures as are customary in the industry. The servicer may, at its discretion, arrange with a defaulting borrower a schedule for the liquidation of delinquencies, provided primary mortgage insurance coverage is not adversely affected. Each Servicing Agreement will provided that the servicer may not assign any of its obligations with respect to the mortgage loans serviced for the Company, except with the Company's consent. At March 31, 1996, ICIFC had no servicers or sub-servicers other than ICII.</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servicer will be required to pay all expenses related to the performance of its duties under its Servicing Agreement. The servicer will be required to make advances of principal and interest, taxes and required insurance premiums that are not collected from borrowers with respect to any mortgage loan, only if the servicer determines that such advances are recoverable from the mortgagor, insurance proceeds or other sources with respect to such mortgage loan. If such advances are made, the servicer generally will be reimbursed prior to the Company receiving the remaining proceeds. The servicer also will be entitled to reimbursement by the Company for expenses incurred by it in connection with the liquidation of defaulted mortgage loans and in connection</w:t>
      </w:r>
    </w:p>
    <w:p>
      <w:pPr>
        <w:sectPr>
          <w:pgSz w:w="11900" w:h="16838" w:orient="portrait"/>
          <w:cols w:equalWidth="0" w:num="1">
            <w:col w:w="10219"/>
          </w:cols>
          <w:pgMar w:left="240" w:top="717" w:right="1440" w:bottom="0" w:gutter="0" w:footer="0" w:header="0"/>
        </w:sectPr>
      </w:pPr>
    </w:p>
    <w:bookmarkStart w:id="61" w:name="page62"/>
    <w:bookmarkEnd w:id="61"/>
    <w:p>
      <w:pPr>
        <w:ind w:left="28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9019"/>
          </w:cols>
          <w:pgMar w:left="1440" w:top="344" w:right="1440" w:bottom="1440" w:gutter="0" w:footer="0" w:header="0"/>
        </w:sectPr>
      </w:pPr>
    </w:p>
    <w:bookmarkStart w:id="62" w:name="page63"/>
    <w:bookmarkEnd w:id="62"/>
    <w:p>
      <w:pPr>
        <w:ind w:right="1999"/>
        <w:spacing w:after="0" w:line="238" w:lineRule="auto"/>
        <w:rPr>
          <w:sz w:val="20"/>
          <w:szCs w:val="20"/>
          <w:color w:val="auto"/>
        </w:rPr>
      </w:pPr>
      <w:r>
        <w:rPr>
          <w:rFonts w:ascii="Courier New" w:cs="Courier New" w:eastAsia="Courier New" w:hAnsi="Courier New"/>
          <w:sz w:val="18"/>
          <w:szCs w:val="18"/>
          <w:color w:val="auto"/>
        </w:rPr>
        <w:t>with the restoration of mortgaged property. If claims are not made or paid under applicable insurance policies or if coverage thereunder has ceased, the Company suffers a loss to the extent that the proceeds from liquidation of the mortgaged property, after reimbursement of the servicer's expenses in the sale, are less than the principal balance of the related mortgage loan. The servicer will be responsible to the Company for any loss suffered as a result of the servicer's failure to make and pursue timely claims or as a result of actions taken or omissions made by the servicer which cause the policies to be canceled by the insurer. Each servicer will be required to represent and warrant that the mortgage loans it services comply with any loan servicing guidelines promulgated by the Company and agree to repurchase, at the request of the Company, any mortgage loan it services in the event that the servicer fails to make such representations or warranties or any such representation or warranty is untrue.</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will terminate a Servicing Agreement with any servicer upon the happening of one or more of the events specified in the Servicing Agreement. Such events relate generally to the servicer's proper and timely performance of its duties and obligations under the Servicing Agreement and the servicer's financial stability. In addition, the Company will have the right to terminate any Servicing Agreement without cause upon 30 days' notice and upon payment of a termination fee that is competitive with that which is obtainable generally in the industry. The termination fee will be based on the aggregate outstanding principal amount of the loans then serviced under the agreement. With respect to mortgage loans that support CMOs or other mortgage-backed securities, the Company may not be able to terminate a servicer without the approval of the trustee or bond insurer for such securities.</w:t>
      </w:r>
    </w:p>
    <w:p>
      <w:pPr>
        <w:spacing w:after="0" w:line="39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As is customary in the mortgage loan servicing industry, servicers are entitled to retain any late payment charges, penalties and assumption fees collected in connection with the mortgage loans. The servicers receive any benefit derived from interest earned on collected principal and interest payments between the date of collection and the date of remittance to the Company and from interest earned on tax and insurance impound funds. The servicer will be required to remit to the Company no later than the 18th day of each month all principal and interest due from borrowers on the first day of such month.</w:t>
      </w:r>
    </w:p>
    <w:p>
      <w:pPr>
        <w:spacing w:after="0" w:line="21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ICIFC will generally perform the function of master servicer with respect to mortgage loans it sells or securitizes. The master servicer's function includes collecting loan payments from servicers of loans and remitting loan payments, less master servicing fees receivable and other fees, to a trustee or other purchaser for each series of mortgage-backed securities or loans master serviced. In addition, as master servicer, ICIFC monitors compliance with its servicing guidelines and is required to perform, or to contract with a third party to perform, all obligations not adequately performed by any servicer. A master servicer typically employs servicers to carry out servicing functions. Servicers typically perform servicing functions for the master servicer as independent contractors. ICIFC is the master servicer for the $175.4 million fixed rate REMIC security it issued in February 1996. In addition, ICIFC acts as the servicer or master servicer for all loans acquired by the Long-Term Investment Operations. The master servicer's responsibility with respect to the Long-Term Investment Operations' mortgage investment portfolio is to provide management, guidance, valuation and accounting.</w:t>
      </w:r>
    </w:p>
    <w:p>
      <w:pPr>
        <w:spacing w:after="0" w:line="39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As compensation for master servicing services performed to IMH, ICIFC charges a monthly fee of 0.02% based on the outstanding principal balance of each such loan master serviced by it as of the last day of each month. ICIFC has represented to IMH that this fee is competitive with that which is obtainable generally in the industry. With respect to its function as a servicer for IMH, ICIFC and IMH entered into a Servicing Agreement effective on November 20, 1995 having terms substantially similar to those described above.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63" w:name="page64"/>
    <w:bookmarkEnd w:id="63"/>
    <w:p>
      <w:pPr>
        <w:ind w:right="2619" w:firstLine="211"/>
        <w:spacing w:after="0" w:line="235" w:lineRule="auto"/>
        <w:rPr>
          <w:sz w:val="20"/>
          <w:szCs w:val="20"/>
          <w:color w:val="auto"/>
        </w:rPr>
      </w:pPr>
      <w:r>
        <w:rPr>
          <w:rFonts w:ascii="Courier New" w:cs="Courier New" w:eastAsia="Courier New" w:hAnsi="Courier New"/>
          <w:sz w:val="18"/>
          <w:szCs w:val="18"/>
          <w:color w:val="auto"/>
        </w:rPr>
        <w:t>The following table shows the Company's delinquency statistics for its servicing portfolio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AT DECEMBER 31,</w:t>
            </w:r>
          </w:p>
        </w:tc>
      </w:tr>
      <w:tr>
        <w:trPr>
          <w:trHeight w:val="203"/>
        </w:trPr>
        <w:tc>
          <w:tcPr>
            <w:tcW w:w="4280" w:type="dxa"/>
            <w:vAlign w:val="bottom"/>
          </w:tcPr>
          <w:p>
            <w:pPr>
              <w:spacing w:after="0"/>
              <w:rPr>
                <w:sz w:val="17"/>
                <w:szCs w:val="17"/>
                <w:color w:val="auto"/>
              </w:rPr>
            </w:pPr>
          </w:p>
        </w:tc>
        <w:tc>
          <w:tcPr>
            <w:tcW w:w="2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 MARCH 31, 1996</w:t>
            </w:r>
          </w:p>
        </w:tc>
        <w:tc>
          <w:tcPr>
            <w:tcW w:w="80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80" w:type="dxa"/>
            <w:vAlign w:val="bottom"/>
          </w:tcPr>
          <w:p>
            <w:pPr>
              <w:spacing w:after="0"/>
              <w:rPr>
                <w:sz w:val="17"/>
                <w:szCs w:val="17"/>
                <w:color w:val="auto"/>
              </w:rPr>
            </w:pP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OF</w:t>
            </w:r>
          </w:p>
        </w:tc>
        <w:tc>
          <w:tcPr>
            <w:tcW w:w="80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OF</w:t>
            </w:r>
          </w:p>
        </w:tc>
      </w:tr>
      <w:tr>
        <w:trPr>
          <w:trHeight w:val="203"/>
        </w:trPr>
        <w:tc>
          <w:tcPr>
            <w:tcW w:w="4280" w:type="dxa"/>
            <w:vAlign w:val="bottom"/>
          </w:tcPr>
          <w:p>
            <w:pPr>
              <w:spacing w:after="0"/>
              <w:rPr>
                <w:sz w:val="17"/>
                <w:szCs w:val="17"/>
                <w:color w:val="auto"/>
              </w:rPr>
            </w:pPr>
          </w:p>
        </w:tc>
        <w:tc>
          <w:tcPr>
            <w:tcW w:w="29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NUMBER OF SERVICING NUMBER</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OF SERVICING</w:t>
            </w:r>
          </w:p>
        </w:tc>
      </w:tr>
      <w:tr>
        <w:trPr>
          <w:trHeight w:val="203"/>
        </w:trPr>
        <w:tc>
          <w:tcPr>
            <w:tcW w:w="4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LOANS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LOANS</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PORTFOLIO</w:t>
            </w:r>
          </w:p>
        </w:tc>
      </w:tr>
      <w:tr>
        <w:trPr>
          <w:trHeight w:val="203"/>
        </w:trPr>
        <w:tc>
          <w:tcPr>
            <w:tcW w:w="4280" w:type="dxa"/>
            <w:vAlign w:val="bottom"/>
          </w:tcPr>
          <w:p>
            <w:pPr>
              <w:spacing w:after="0"/>
              <w:rPr>
                <w:sz w:val="17"/>
                <w:szCs w:val="17"/>
                <w:color w:val="auto"/>
              </w:rPr>
            </w:pP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4280" w:type="dxa"/>
            <w:vAlign w:val="bottom"/>
          </w:tcPr>
          <w:p>
            <w:pPr>
              <w:jc w:val="right"/>
              <w:ind w:right="1972"/>
              <w:spacing w:after="0"/>
              <w:rPr>
                <w:sz w:val="20"/>
                <w:szCs w:val="20"/>
                <w:color w:val="auto"/>
              </w:rPr>
            </w:pPr>
            <w:r>
              <w:rPr>
                <w:rFonts w:ascii="Courier New" w:cs="Courier New" w:eastAsia="Courier New" w:hAnsi="Courier New"/>
                <w:sz w:val="18"/>
                <w:szCs w:val="18"/>
                <w:color w:val="auto"/>
                <w:w w:val="96"/>
              </w:rPr>
              <w:t>Loans delinquent for:</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30-59 days............................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60-89 days............................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0.17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 days+..............................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0.03</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Delinquencies.................</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1.63%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28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loans purchased by the Company since the Contribution Transaction and thereafter securitized and sold in the secondary market have been outstanding since November 20, 1995. Consequently, the Company's delinquency and foreclosure experience to date may not be indicative of future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gridSpan w:val="8"/>
          </w:tcPr>
          <w:p>
            <w:pPr>
              <w:jc w:val="center"/>
              <w:spacing w:after="0"/>
              <w:rPr>
                <w:sz w:val="20"/>
                <w:szCs w:val="20"/>
                <w:color w:val="auto"/>
              </w:rPr>
            </w:pPr>
            <w:r>
              <w:rPr>
                <w:rFonts w:ascii="Courier New" w:cs="Courier New" w:eastAsia="Courier New" w:hAnsi="Courier New"/>
                <w:sz w:val="18"/>
                <w:szCs w:val="18"/>
                <w:color w:val="auto"/>
                <w:w w:val="97"/>
              </w:rPr>
              <w:t>During periods of declining interest rates, prepayments of mortgage loans</w:t>
            </w:r>
          </w:p>
        </w:tc>
        <w:tc>
          <w:tcPr>
            <w:tcW w:w="1420" w:type="dxa"/>
            <w:vAlign w:val="bottom"/>
          </w:tcPr>
          <w:p>
            <w:pPr>
              <w:spacing w:after="0"/>
              <w:rPr>
                <w:sz w:val="17"/>
                <w:szCs w:val="17"/>
                <w:color w:val="auto"/>
              </w:rPr>
            </w:pPr>
          </w:p>
        </w:tc>
      </w:tr>
      <w:tr>
        <w:trPr>
          <w:trHeight w:val="203"/>
        </w:trPr>
        <w:tc>
          <w:tcPr>
            <w:tcW w:w="8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increase as homeowners look to refinance at lower rates, resulting in a</w:t>
            </w:r>
          </w:p>
        </w:tc>
        <w:tc>
          <w:tcPr>
            <w:tcW w:w="1420" w:type="dxa"/>
            <w:vAlign w:val="bottom"/>
          </w:tcPr>
          <w:p>
            <w:pPr>
              <w:spacing w:after="0"/>
              <w:rPr>
                <w:sz w:val="17"/>
                <w:szCs w:val="17"/>
                <w:color w:val="auto"/>
              </w:rPr>
            </w:pPr>
          </w:p>
        </w:tc>
      </w:tr>
      <w:tr>
        <w:trPr>
          <w:trHeight w:val="203"/>
        </w:trPr>
        <w:tc>
          <w:tcPr>
            <w:tcW w:w="6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decrease in the value of the servicing portfolio. Mortgage loans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with higher</w:t>
            </w:r>
          </w:p>
        </w:tc>
        <w:tc>
          <w:tcPr>
            <w:tcW w:w="1420" w:type="dxa"/>
            <w:vAlign w:val="bottom"/>
          </w:tcPr>
          <w:p>
            <w:pPr>
              <w:spacing w:after="0"/>
              <w:rPr>
                <w:sz w:val="17"/>
                <w:szCs w:val="17"/>
                <w:color w:val="auto"/>
              </w:rPr>
            </w:pPr>
          </w:p>
        </w:tc>
      </w:tr>
      <w:tr>
        <w:trPr>
          <w:trHeight w:val="203"/>
        </w:trPr>
        <w:tc>
          <w:tcPr>
            <w:tcW w:w="8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interest rates are more likely to result in prepayments. For a discussion</w:t>
            </w:r>
          </w:p>
        </w:tc>
        <w:tc>
          <w:tcPr>
            <w:tcW w:w="1420" w:type="dxa"/>
            <w:vAlign w:val="bottom"/>
          </w:tcPr>
          <w:p>
            <w:pPr>
              <w:spacing w:after="0"/>
              <w:rPr>
                <w:sz w:val="17"/>
                <w:szCs w:val="17"/>
                <w:color w:val="auto"/>
              </w:rPr>
            </w:pPr>
          </w:p>
        </w:tc>
      </w:tr>
      <w:tr>
        <w:trPr>
          <w:trHeight w:val="203"/>
        </w:trPr>
        <w:tc>
          <w:tcPr>
            <w:tcW w:w="8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regarding how prepayments may affect the Company's operations, see "Risk</w:t>
            </w:r>
          </w:p>
        </w:tc>
        <w:tc>
          <w:tcPr>
            <w:tcW w:w="1420" w:type="dxa"/>
            <w:vAlign w:val="bottom"/>
          </w:tcPr>
          <w:p>
            <w:pPr>
              <w:spacing w:after="0"/>
              <w:rPr>
                <w:sz w:val="17"/>
                <w:szCs w:val="17"/>
                <w:color w:val="auto"/>
              </w:rPr>
            </w:pPr>
          </w:p>
        </w:tc>
      </w:tr>
      <w:tr>
        <w:trPr>
          <w:trHeight w:val="203"/>
        </w:trPr>
        <w:tc>
          <w:tcPr>
            <w:tcW w:w="8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Factors--Changes in Interest Rates; Prepayment Risks." The following table</w:t>
            </w:r>
          </w:p>
        </w:tc>
        <w:tc>
          <w:tcPr>
            <w:tcW w:w="1420" w:type="dxa"/>
            <w:vAlign w:val="bottom"/>
          </w:tcPr>
          <w:p>
            <w:pPr>
              <w:spacing w:after="0"/>
              <w:rPr>
                <w:sz w:val="17"/>
                <w:szCs w:val="17"/>
                <w:color w:val="auto"/>
              </w:rPr>
            </w:pPr>
          </w:p>
        </w:tc>
      </w:tr>
      <w:tr>
        <w:trPr>
          <w:trHeight w:val="203"/>
        </w:trPr>
        <w:tc>
          <w:tcPr>
            <w:tcW w:w="94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sets forth certain information regarding the number of and aggregate principal</w:t>
            </w:r>
          </w:p>
        </w:tc>
      </w:tr>
      <w:tr>
        <w:trPr>
          <w:trHeight w:val="203"/>
        </w:trPr>
        <w:tc>
          <w:tcPr>
            <w:tcW w:w="6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balance of the mortgage loans serviced by the Company, including</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both fixed</w:t>
            </w:r>
          </w:p>
        </w:tc>
        <w:tc>
          <w:tcPr>
            <w:tcW w:w="1420" w:type="dxa"/>
            <w:vAlign w:val="bottom"/>
          </w:tcPr>
          <w:p>
            <w:pPr>
              <w:spacing w:after="0"/>
              <w:rPr>
                <w:sz w:val="17"/>
                <w:szCs w:val="17"/>
                <w:color w:val="auto"/>
              </w:rPr>
            </w:pPr>
          </w:p>
        </w:tc>
      </w:tr>
      <w:tr>
        <w:trPr>
          <w:trHeight w:val="203"/>
        </w:trPr>
        <w:tc>
          <w:tcPr>
            <w:tcW w:w="6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 adjustable rate loans, at various mortgage interest rates.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332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rPr>
              <w:t>AT MARCH 31, 1996</w:t>
            </w:r>
          </w:p>
        </w:tc>
        <w:tc>
          <w:tcPr>
            <w:tcW w:w="3580" w:type="dxa"/>
            <w:vAlign w:val="bottom"/>
            <w:gridSpan w:val="4"/>
          </w:tcPr>
          <w:p>
            <w:pPr>
              <w:jc w:val="right"/>
              <w:ind w:right="532"/>
              <w:spacing w:after="0"/>
              <w:rPr>
                <w:sz w:val="20"/>
                <w:szCs w:val="20"/>
                <w:color w:val="auto"/>
              </w:rPr>
            </w:pPr>
            <w:r>
              <w:rPr>
                <w:rFonts w:ascii="Courier New" w:cs="Courier New" w:eastAsia="Courier New" w:hAnsi="Courier New"/>
                <w:sz w:val="18"/>
                <w:szCs w:val="18"/>
                <w:color w:val="auto"/>
              </w:rPr>
              <w:t>AT DECEMBER 31, 1995</w:t>
            </w:r>
          </w:p>
        </w:tc>
      </w:tr>
      <w:tr>
        <w:trPr>
          <w:trHeight w:val="203"/>
        </w:trPr>
        <w:tc>
          <w:tcPr>
            <w:tcW w:w="25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0"/>
              </w:rPr>
              <w:t>--------------------------------</w:t>
            </w: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WEIGHTED</w:t>
            </w:r>
          </w:p>
        </w:tc>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AGGREGATE</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NUMBER</w:t>
            </w: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PRINCIPAL</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AVERAGE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PRINCIPAL</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OF LOANS</w:t>
            </w:r>
          </w:p>
        </w:tc>
        <w:tc>
          <w:tcPr>
            <w:tcW w:w="10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BALANCE</w:t>
            </w:r>
          </w:p>
        </w:tc>
        <w:tc>
          <w:tcPr>
            <w:tcW w:w="2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INTEREST RATE OF LOANS</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BALANCE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INTEREST RATE</w:t>
            </w:r>
          </w:p>
        </w:tc>
      </w:tr>
      <w:tr>
        <w:trPr>
          <w:trHeight w:val="203"/>
        </w:trPr>
        <w:tc>
          <w:tcPr>
            <w:tcW w:w="258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2580" w:type="dxa"/>
            <w:vAlign w:val="bottom"/>
          </w:tcPr>
          <w:p>
            <w:pPr>
              <w:spacing w:after="0"/>
              <w:rPr>
                <w:sz w:val="17"/>
                <w:szCs w:val="17"/>
                <w:color w:val="auto"/>
              </w:rPr>
            </w:pPr>
          </w:p>
        </w:tc>
        <w:tc>
          <w:tcPr>
            <w:tcW w:w="1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(DOLLARS</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358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Less than 5%............</w:t>
            </w:r>
          </w:p>
        </w:tc>
        <w:tc>
          <w:tcPr>
            <w:tcW w:w="1000" w:type="dxa"/>
            <w:vAlign w:val="bottom"/>
          </w:tcPr>
          <w:p>
            <w:pPr>
              <w:jc w:val="right"/>
              <w:ind w:right="214"/>
              <w:spacing w:after="0"/>
              <w:rPr>
                <w:sz w:val="20"/>
                <w:szCs w:val="20"/>
                <w:color w:val="auto"/>
              </w:rPr>
            </w:pPr>
            <w:r>
              <w:rPr>
                <w:rFonts w:ascii="Courier New" w:cs="Courier New" w:eastAsia="Courier New" w:hAnsi="Courier New"/>
                <w:sz w:val="18"/>
                <w:szCs w:val="18"/>
                <w:color w:val="auto"/>
              </w:rPr>
              <w:t>4</w:t>
            </w:r>
          </w:p>
        </w:tc>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503</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4.79%</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700"/>
              <w:spacing w:after="0"/>
              <w:rPr>
                <w:sz w:val="20"/>
                <w:szCs w:val="20"/>
                <w:color w:val="auto"/>
              </w:rPr>
            </w:pPr>
            <w:r>
              <w:rPr>
                <w:rFonts w:ascii="Courier New" w:cs="Courier New" w:eastAsia="Courier New" w:hAnsi="Courier New"/>
                <w:sz w:val="18"/>
                <w:szCs w:val="18"/>
                <w:color w:val="auto"/>
              </w:rPr>
              <w:t>--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5.00-5.49...............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5</w:t>
            </w:r>
          </w:p>
        </w:tc>
        <w:tc>
          <w:tcPr>
            <w:tcW w:w="4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693</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5.18</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5.50-5.99...............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7</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1,305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6.00-6.49...............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95</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13,458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12,014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6.50-6.99...............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112</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17,074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13,693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7.00-7.49...............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199</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38,140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29,157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7.50-7.99...............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563</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103,955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96,681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8.00-8.49...............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793</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141,134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727</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132,122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8.50-8.99...............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1,343</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215,596</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797</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133,324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9.00-9.49...............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349</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48,120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33,031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9.50-9.99...............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172</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23,314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9.67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16,939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10.00-10.49.............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69</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7,477</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10.50-10.99.............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73</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7,955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11.00-11.49.............</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18</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2,080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11.50+..................</w:t>
            </w: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796</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31,068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742</w:t>
            </w:r>
          </w:p>
        </w:tc>
        <w:tc>
          <w:tcPr>
            <w:tcW w:w="3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29,633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3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4,598</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$651,872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3,533</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$512,127</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8.48%</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3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55</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4" w:name="page65"/>
    <w:bookmarkEnd w:id="64"/>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geographic distribution of the Company's servicing portfolio.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4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AT MARCH 31, 1996</w:t>
            </w:r>
          </w:p>
        </w:tc>
        <w:tc>
          <w:tcPr>
            <w:tcW w:w="302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AT DECEMBER 31, 1995</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2"/>
              </w:rPr>
              <w:t>----------------------------</w:t>
            </w:r>
          </w:p>
        </w:tc>
        <w:tc>
          <w:tcPr>
            <w:tcW w:w="1040" w:type="dxa"/>
            <w:vAlign w:val="bottom"/>
          </w:tcPr>
          <w:p>
            <w:pPr>
              <w:spacing w:after="0"/>
              <w:rPr>
                <w:sz w:val="17"/>
                <w:szCs w:val="17"/>
                <w:color w:val="auto"/>
              </w:rPr>
            </w:pPr>
          </w:p>
        </w:tc>
        <w:tc>
          <w:tcPr>
            <w:tcW w:w="3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OF</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OF</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AGGREGATE AGGREGATE</w:t>
            </w:r>
          </w:p>
        </w:tc>
        <w:tc>
          <w:tcPr>
            <w:tcW w:w="960" w:type="dxa"/>
            <w:vAlign w:val="bottom"/>
          </w:tcPr>
          <w:p>
            <w:pPr>
              <w:spacing w:after="0"/>
              <w:rPr>
                <w:sz w:val="17"/>
                <w:szCs w:val="17"/>
                <w:color w:val="auto"/>
              </w:rPr>
            </w:pP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AGGREGATE AGGREGATE</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NUMBER</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PRINCIPAL PRINCIPAL</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PRINCIPAL PRINCIPAL</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OF LOANS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BALANCE</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BALANCE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LOANS</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BALANCE</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30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w w:val="99"/>
              </w:rPr>
              <w:t>California...........</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2,573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$422,034</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64.74%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2,175</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$356,931</w:t>
            </w: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69.70%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Florida</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19,958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New Jersey...........</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31,507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18,848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3.68</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Washington...........</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23,522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21,522</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Oregon...............</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21,933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3.36</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17,433</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Colorado.............</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22,523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20,634</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5,663</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Utah.................</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5,404</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Nevada...............</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9,915</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4,458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0.87</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Maryland.............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7,864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6,008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Arizona</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5,648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Illinois.............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1,394</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Georgia</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2,144</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0.42</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Hawaii...............</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0.63</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3,499</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0.68</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Texas................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1,391</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Virginia.............</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0.31</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1,448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Massachusetts........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1,885</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1,377</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Others</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24,520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18,367</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4,598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$651,872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$512,127</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41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state accounted for greater than 1% of the Company's mortgage loan servicing portfolio.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rules and regulations applicable to the Conduit Operations, among other things, prohibit discrimination and establish underwriting guidelines that include provisions for inspections and appraisals, require credit reports on prospective borrowers and fix maximum loan amounts. Mortgage loan acquisition activities are subject to, among other laws, the Equal Credit Opportunity Act, Federal Truth-in-Lending Act and the Real Estate Settlement Procedures Act and the regulations promulgated thereunder that prohibit discrimination and require the disclosure of certain basic information to mortgagors concerning credit terms and settlement costs.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Subsequent to November 20, 1995, ICIFC applied and became an approved FNMA seller/servicer. ICIFC is currently in the process of applying with FHLMC to become an approved FHLMC seller/servicer. Upon approval, the Conduit Operations will be subject to the rules and regulations of FNMA and FHLMC with respect to acquiring, processing, selling and servicing conforming mortgage loans. In addition, ICIFC will be required annually to submit to FNMA and FHLMC audited financial statements, and each regulatory entity has its own financial requirements for sellers/servicers. For any conforming mortgage loan activities, ICIFC's affairs would also be subject to examination by FNMA and FHLMC at any time to assure compliance with the applicable regulations, policies and procedures.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the elimination of or a substantial reduction in the current home mortgage interest tax deduction could curtail mortgage loan originations, which could materially adversely affect the Company's results of operations and financial condition.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Additionally, there are various state and local laws and regulations affecting the Conduit Operations. ICIFC is licensed in those states requiring such a license. Mortgage operations also may be subject to applicable state usury statutes. The Company is presently in material compliance with all material rules and regulations to which it is subject.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59"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purchasing non-conforming mortgage loans and issuing securities backed by such loans, the Company competes with established mortgage conduit programs, investment banking firms, savings and loan associations, banks, thrift and loan associations, finance companies, mortgage bankers, insurance companies, other lenders and other entities purchasing mortgage assets. Continued consolidation in the mortgage banking industry may also reduce the number of current sellers to the Conduit Operations, thus reducing the Company's potential customer base, resulting in ICIFC's purchasing a larger percentage of mortgage loans from a smaller number of sellers. Such changes could negatively impact the Conduit Operations. Mortgage-backed securities issued by the Conduit Operations and the Long-Term Investment Operations face competition from other investment opportunities available to prospective investors.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faces competition in its Conduit Operations and Warehouse Lending Operations from other financial institutions, including but not limited to banks and investment banks. Many of the institutions with which the Company competes in its Conduit Operations and Warehouse Lending Operations have significantly greater financial resources than the Company.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operations may be affected by the activities of ICII and its affiliates. As an end-investor in non-conforming mortgage loans, SPTL may compete with the Company as this activity is not restricted by the Non-Compete Agreement. Also, Southern Pacific Funding Corporation is a wholly-owned subsidiary of ICII whose business is primarily to act as a wholesale originator and a bulk purchaser of non-conforming mortgage loans. These activities are not restricted by the Non-Compete Agreement. In addition, after the expiration of the Non-Compete Agreement, ICII or any 25% entity may compete with the Company's Long-Term Investment Operations, the Conduit Operations and the Warehouse Lending Operations. While the Company believes such activities will not have a material adverse effect on the Company's operations there can be no assurance of this.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of March 31, 1996, ICIFC and IWLG employed 60 and three, respectively. However, as part of the transition from a division or subsidiary of ICII to ICIFC, some employees are shared by both entities although ICII and ICIFC expect such sharing to end prior to December 31, 1996. Expenses associated with these employees are shared by both parties in relation to the time spent working for each entity. The Company believes that relations with its employees are good. The Company is not a party to any collective bargaining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Company's executive offices and administrative facilities occupy</w:t>
      </w:r>
    </w:p>
    <w:p>
      <w:pPr>
        <w:spacing w:after="0" w:line="238" w:lineRule="auto"/>
        <w:rPr>
          <w:sz w:val="20"/>
          <w:szCs w:val="20"/>
          <w:color w:val="auto"/>
        </w:rPr>
      </w:pPr>
      <w:r>
        <w:rPr>
          <w:rFonts w:ascii="Courier New" w:cs="Courier New" w:eastAsia="Courier New" w:hAnsi="Courier New"/>
          <w:sz w:val="18"/>
          <w:szCs w:val="18"/>
          <w:color w:val="auto"/>
        </w:rPr>
        <w:t>approximately 10,000 square feet of space in Santa Ana Heights, California.</w:t>
      </w:r>
    </w:p>
    <w:p>
      <w:pPr>
        <w:spacing w:after="0"/>
        <w:rPr>
          <w:sz w:val="20"/>
          <w:szCs w:val="20"/>
          <w:color w:val="auto"/>
        </w:rPr>
      </w:pPr>
      <w:r>
        <w:rPr>
          <w:rFonts w:ascii="Courier New" w:cs="Courier New" w:eastAsia="Courier New" w:hAnsi="Courier New"/>
          <w:sz w:val="18"/>
          <w:szCs w:val="18"/>
          <w:color w:val="auto"/>
        </w:rPr>
        <w:t>The Company subleases its facilities from ICII pursuant to a sublease</w:t>
      </w:r>
    </w:p>
    <w:p>
      <w:pPr>
        <w:spacing w:after="0" w:line="237" w:lineRule="auto"/>
        <w:rPr>
          <w:sz w:val="20"/>
          <w:szCs w:val="20"/>
          <w:color w:val="auto"/>
        </w:rPr>
      </w:pPr>
      <w:r>
        <w:rPr>
          <w:rFonts w:ascii="Courier New" w:cs="Courier New" w:eastAsia="Courier New" w:hAnsi="Courier New"/>
          <w:sz w:val="18"/>
          <w:szCs w:val="18"/>
          <w:color w:val="auto"/>
        </w:rPr>
        <w:t>agreement expiring in 2002 at an aggregate monthly rental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$12,900. The terms of the sublease allow for increases in rent as dictated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master lease. Management believes that the terms of the sublease are at</w:t>
      </w:r>
    </w:p>
    <w:p>
      <w:pPr>
        <w:spacing w:after="0" w:line="238" w:lineRule="auto"/>
        <w:rPr>
          <w:sz w:val="20"/>
          <w:szCs w:val="20"/>
          <w:color w:val="auto"/>
        </w:rPr>
      </w:pPr>
      <w:r>
        <w:rPr>
          <w:rFonts w:ascii="Courier New" w:cs="Courier New" w:eastAsia="Courier New" w:hAnsi="Courier New"/>
          <w:sz w:val="18"/>
          <w:szCs w:val="18"/>
          <w:color w:val="auto"/>
        </w:rPr>
        <w:t>least as favorable as could have been obtained from an unaffiliated third</w:t>
      </w:r>
    </w:p>
    <w:p>
      <w:pPr>
        <w:spacing w:after="0"/>
        <w:rPr>
          <w:sz w:val="20"/>
          <w:szCs w:val="20"/>
          <w:color w:val="auto"/>
        </w:rPr>
      </w:pPr>
      <w:r>
        <w:rPr>
          <w:rFonts w:ascii="Courier New" w:cs="Courier New" w:eastAsia="Courier New" w:hAnsi="Courier New"/>
          <w:sz w:val="18"/>
          <w:szCs w:val="18"/>
          <w:color w:val="auto"/>
        </w:rPr>
        <w:t>party. Management believes that these facilities are adequate for the</w:t>
      </w:r>
    </w:p>
    <w:p>
      <w:pPr>
        <w:spacing w:after="0" w:line="237" w:lineRule="auto"/>
        <w:rPr>
          <w:sz w:val="20"/>
          <w:szCs w:val="20"/>
          <w:color w:val="auto"/>
        </w:rPr>
      </w:pPr>
      <w:r>
        <w:rPr>
          <w:rFonts w:ascii="Courier New" w:cs="Courier New" w:eastAsia="Courier New" w:hAnsi="Courier New"/>
          <w:sz w:val="18"/>
          <w:szCs w:val="18"/>
          <w:color w:val="auto"/>
        </w:rPr>
        <w:t>Company's foreseeable needs and that alternate space at comparable rental</w:t>
      </w:r>
    </w:p>
    <w:p>
      <w:pPr>
        <w:spacing w:after="0" w:line="238" w:lineRule="auto"/>
        <w:rPr>
          <w:sz w:val="20"/>
          <w:szCs w:val="20"/>
          <w:color w:val="auto"/>
        </w:rPr>
      </w:pPr>
      <w:r>
        <w:rPr>
          <w:rFonts w:ascii="Courier New" w:cs="Courier New" w:eastAsia="Courier New" w:hAnsi="Courier New"/>
          <w:sz w:val="18"/>
          <w:szCs w:val="18"/>
          <w:color w:val="auto"/>
        </w:rPr>
        <w:t>rates is available, if necessary.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ComUnity National Asset Corporation, a Maryland corporation v. Thomas O. Markel, Jr., an individual; Homemac Mortgage Bankers, a business association of unknown form; Homemac Corporation, a California corporation; Homemac Finance Corporation; Homemac Institutional Mortgage Corporation, a California corporation; Imperial Credit Mortgage Holdings, Inc., a Maryland corporation; and DOES 1 through 100, inclusive, Orange County Superior Court Case No. 761786.</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1440" w:gutter="0" w:footer="0" w:header="0"/>
        </w:sectPr>
      </w:pPr>
    </w:p>
    <w:bookmarkStart w:id="66" w:name="page67"/>
    <w:bookmarkEnd w:id="66"/>
    <w:p>
      <w:pPr>
        <w:ind w:right="1999" w:firstLine="211"/>
        <w:spacing w:after="0" w:line="237" w:lineRule="auto"/>
        <w:rPr>
          <w:sz w:val="20"/>
          <w:szCs w:val="20"/>
          <w:color w:val="auto"/>
        </w:rPr>
      </w:pPr>
      <w:r>
        <w:rPr>
          <w:rFonts w:ascii="Courier New" w:cs="Courier New" w:eastAsia="Courier New" w:hAnsi="Courier New"/>
          <w:sz w:val="18"/>
          <w:szCs w:val="18"/>
          <w:color w:val="auto"/>
        </w:rPr>
        <w:t>On April 1, 1996, ComUnity National Asset Corporation ("ComUnity") filed a lawsuit in Orange County Superior Court against Thomas O. Markel, Jr., several Homemac entities, and IMH. The complaint seeks damages for statutory and common law misappropriation of trade secrets, restitution for unfair competition, damages for negligence and conversion.</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ComUnity seeks damages in an unspecified amount, but in no event less than $200,000, alleging that said amount is in no event less than the amount spent and/or obligations incurred by ComUnity in setting up its business and organizational plan for IMH to become a REIT dealing primarily in B and C grade mortgage loans and to take ComUnity public in an initial public offering, together with punitive damages. Also, ComUnity alleges that IMH wrongfully received consideration in the form of, among other things, reduced expenses and legal fees, salary, wages, stock options, and other forms of consideration arising out of the commercial exploitation of ComUnity confidential information, and that ComUnity is entitled to an order of restitution compelling IMH and the other defendants to pay to ComUnity all profits from the commercial exploitation of information allegedly received from ComUnity. The Company believes that the complaint is without merit and intends to vigorously defend the action.</w:t>
      </w:r>
    </w:p>
    <w:p>
      <w:pPr>
        <w:spacing w:after="0" w:line="208"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Other than the foregoing, the Company is not a party to any material legal proceedings.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7" w:name="page68"/>
    <w:bookmarkEnd w:id="67"/>
    <w:p>
      <w:pPr>
        <w:ind w:left="2120"/>
        <w:spacing w:after="0"/>
        <w:rPr>
          <w:sz w:val="20"/>
          <w:szCs w:val="20"/>
          <w:color w:val="auto"/>
        </w:rPr>
      </w:pPr>
      <w:r>
        <w:rPr>
          <w:rFonts w:ascii="Courier New" w:cs="Courier New" w:eastAsia="Courier New" w:hAnsi="Courier New"/>
          <w:sz w:val="18"/>
          <w:szCs w:val="18"/>
          <w:color w:val="auto"/>
        </w:rPr>
        <w:t>IMPERIAL CREDIT MORTGAGE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Company was incorporated in the State of Maryland on August 28, 1995. The following table sets forth certain information with respect to the directors and executive officers of IMH, ICIFC and IWLG: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H. Wayne Snavely....................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54</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 of IMH</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Joseph R. Tomkinson.................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Vice Chairman of the Board and Chief</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Executive Officer of IMH and Chairman</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 and Chief Executive</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 of ICIFC and IWLG</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S. Ashmore..................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President and Chief Operating Officer</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IMH and Executive Vice President</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 Director of ICIFC and IWLG</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J. Johnson..................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Chief</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Officer, Treasurer and</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Secretary of IMH, ICIFC and IWLG and</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Director of ICIFC</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Mary C. Glass.......................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Vice President of IMH and Senior Vice</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Operations, of ICIFC and</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IWLG</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Walsh+........................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IMH</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Frank P. Filipps+...................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IMH</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Stephan R. Peers+...................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of IMH</w:t>
            </w:r>
          </w:p>
        </w:tc>
      </w:tr>
    </w:tbl>
    <w:p>
      <w:pPr>
        <w:spacing w:after="0" w:line="201"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+Unaffiliated Director</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WAYNE SNAVELY has been the Chairman of the Board of IMH since its</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formation. He has been Chairman of the Board and Chief Executive Officer of ICII since December 1991. Mr. Snavely is also Chairman of the Board of ICAI, the Manager. He has been a Director of Imperial Bancorp and Imperial Bank since 1993, and was also a director of Imperial Bank from 1975 to 1983. From 1983 to February 1991, Mr. Snavely served as Executive Vice President of Imperial Bancorp and Imperial Bank with direct management responsibility for the following bank subsidiaries and divisions: Imperial Bank Mortgage, Southern Pacific Thrift and Loan, Imperial Trust Company, Wm. Mason &amp; Company, Imperial Ventures, Inc. and The Lewis Horwitz Organization. From 1983 through 1986, Mr. Snavely was employed as Chief Financial Officer of Imperial Bancorp and Imperial Bank.</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JOSEPH R. TOMKINSON has been the Vice Chairman of the Board and Chief Executive Officer of IMH and the Chairman of the Board and Chief Executive Officer of ICIFC and IWLG since their formation. Mr. Tomkinson is also Vice Chairman of the Board of ICAI, the Manager. Mr. Tomkinson served as President of ICII from January 1992 to February 1996 and from 1986 to January 1992 he was President of Imperial Bank Mortgage, a subsidiary of Imperial Bank, one of the companies that combined to become ICII in 1992. Mr. Tomkinson has been a Director of ICII since December 1991. From 1984 to 1986, he was employed as Executive Vice President of Loan Production for American Mortgage Network, a privately owned mortgage banker. Mr. Tomkinson brings 21 years of combined experience in real estate, real estate financing and mortgage banking to the Company.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WILLIAM S. ASHMORE has been the President and Chief Operating Officer of IMH and Executive Vice President and a Director of ICIFC and IWLG since their formation. Mr. Ashmore is also Executive Vice President and a Director of ICAI, the Manager. From August 1993 to February 1996, he was Executive Vice President and a Director of Secondary Marketing at ICII, having been its Senior Vice President of Secondary Marketing since January 1988. From 1985 to 1987, he was Chief Executive Officer and Vice Chairman of the Board of Century National Mortgage Corporation, a wholesale mortgage banking company. From 1978 to 1985, Mr. Ashmore was the President and co-owner of Independent Homes Real Estate Company, which evolved in 1980 into a mortgage banking firm that was sold to Century National Bank in 1985. Mr. Ashmore has over 20 years of combined experience in real estate, real estate financing and mortgage banking.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159" w:gutter="0" w:footer="0" w:header="0"/>
        </w:sectPr>
      </w:pPr>
    </w:p>
    <w:bookmarkStart w:id="68" w:name="page69"/>
    <w:bookmarkEnd w:id="68"/>
    <w:p>
      <w:pPr>
        <w:ind w:right="1999" w:firstLine="211"/>
        <w:spacing w:after="0" w:line="270" w:lineRule="auto"/>
        <w:rPr>
          <w:sz w:val="20"/>
          <w:szCs w:val="20"/>
          <w:color w:val="auto"/>
        </w:rPr>
      </w:pPr>
      <w:r>
        <w:rPr>
          <w:rFonts w:ascii="Courier New" w:cs="Courier New" w:eastAsia="Courier New" w:hAnsi="Courier New"/>
          <w:sz w:val="16"/>
          <w:szCs w:val="16"/>
          <w:color w:val="auto"/>
        </w:rPr>
        <w:t>RICHARD J. JOHNSON has been Senior Vice President, Chief Financial Officer, Treasurer and Secretary of IMH, IWLG, and ICIFC since their formation. In March of 1996, Mr. Johnson was appointed as a director of ICIFC. From March 1995 to March 1996, Mr. Johnson was the Chief Financial Officer of ICAI, the Manager. From September 1992 to March 1995, Mr. Johnson was Senior Vice President and Chief Financial Officer of ICII. From November 1989 to September 1992, Mr. Johnson was Vice President and Controller of ICII. From February 1988 to October 1989, he was Vice President and Chief Financial Officer of Bayhill Service Corporation, a mortgage banking company, and Vice President of Capital Savings and Loan, the parent of Bayhill Service Corporation. From January 1987 to February 1988, Mr. Johnson was Vice President of Finance for Merrill Lynch Huntoon Paige, Inc., a mortgage banking subsidiary of Merrill Lynch Capital Markets. Mr. Johnson is a Certified Public Accountant.</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MARY C. GLASS has been Vice President of IMH and Senior Vice President, Operations of ICIFC and IWLG since their formation. From April 1995 through November 1996, Ms. Glass was the Senior Vice President and Managing Director of Imperial Capital Markets Group, a division of ICII, and from February 1993 to April 1995, she was Senior Vice President of ICIFC, a division of ICII. From 1991 through 1993, Ms. Glass acted as a mortgage banking consultant. From 1990 through 1991, she was an Executive Vice President at PriMerit Mortgage Corporation. From 1988 to 1990, Ms. Glass was the President of SCS Mortgage. From September 1984 through September 1988, Ms. Glass was Senior Vice President of Concor Financial Services.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JAMES WALSH has been a Director of the Company since August 1995. Mr. Walsh has been an executive vice president of Walsh Securities, Inc. where he is in charge of mortgage loan production, sales and securitization. Mr. Walsh was an executive of Donaldson, Lufkin and Jenrette Securities Corporation from January 1989 through March 1996 where he overseed residential mortgage securitization, servicing brokerage and mortgage banking services. From February 1987 to December 1988, Mr. Walsh was an executive in the mortgage banking department at Bear Stearns &amp; Company. From December 1985 to February 1987, Mr. Walsh was a senior banking officer at Carteret Savings Bank. [update]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FRANK P. FILIPPS has been a Director of the Company since August 1995. Mr. Filipps was elected President of CMAC Investment Corporation and Chairman, President and Chief Executive Officer of Commonwealth Mortgage Assurance Company ("CMAC") in January 1995. Mr. Filipps joined CMAC in 1992 as Senior Vice President and Chief Financial Officer, where he was responsible for the company's financial, investment and data processing operations, as well as the legal and human resources functions. In 1994, Mr. Filipps was promoted to Executive Vice President and Chief Operating Officer for both CMAC Investment Corporation and CMAC, where his additional responsibilities included the company's sales, marketing, underwriting and risk management. In 1975, Mr. Filipps joined American International Group, and from 1989 to 1992, he was Vice President and Treasurer. Prior to that, he was a Second Vice President for Chase Manhattan Bank, N.A., in New York.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STEPHAN R. PEERS has been a Director of the Company since October 1995. Since April 1993, Mr. Peers has been an Executive Vice President of International Strategic Finance Corporation, Ltd., where he performs corporate finance services for overseas issuers. From April 1989 to April 1993, Mr. Peers was a Vice President in corporate finance at Montgomery Securities where he specialized in financial services institutions. From March 1987 to March 1989, Mr. Peers was a Vice President at The First Boston Corporation in mortgage finance specializing in mortgage related products. Mr. Peers has served as a Managing Director of Resource Bancshares Corporation since August 1995.</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directors are elected at each annual meeting of the Company's stockholders for a term of one year, and hold office until their successors are elected and qualify. Replacements for vacancies occurring among the Unaffiliated Directors will be elected by a majority vote of the remaining Directors, including a majority of the Unaffiliated Directors. All officers serve at the discretion of the Board of Directors. The Company pays an annual director's fee to each Unaffiliated Director equal to $20,000 and reimburses such Directors' costs and expenses for attending such meetings.</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969"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LIMITATION OF LIABILITY AND INDEMNIFICATION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Charter of the Company contains such a provision, which eliminates such liability to the maximum extent permitted by the MGCL.</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Charter of the Company authorizes it, to the maximum extent permitted by Maryland law, to obligate itself to indemnify and to pay or reimburse reasonable expenses in advance of final disposition of a proceeding to (a) any present or former director or officer or (b) any individual who, while a director of the Company and at the request of the Company, serves or has served another corporation, partnership, joint venture, trust, employee benefit plan or any other enterprise as a director, officer, partner or trustee of such corporation, partnership, joint venture, trust, employee benefit plan or other enterprise. The Bylaws of the Company obligate it, to the maximum extent permitted by Maryland law, to indemnify and to pay or reimburse reasonable expenses in advance of final disposition of a proceeding to (a) any present or former director or officer who is made a party to the proceeding by reason of his service in that capacity or (b) any individual who, while a director of the Company and at the request of the Company, serves or has served another corporation, partnership, joint venture, trust, employee benefit plan or any other enterprise as a director, officer, partner or trustee of such corporation, partnership, joint venture, trust, employee benefit plan or other enterprise and who is made a party to the proceeding by reason of his service in that capacity. The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MGCL requires a corporation (unless its Charter provides otherwise, which the Company's Charter does not) to indemnify a director or officer who has been successful, on the merits or otherwise, in the defense of any proceeding to which he is made a party by reason of his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for an adverse judgment in a suit by or in the right of the corporation. In addition, the MGCL requires the Company, as a condition to advancing expenses, to obtain (a) a written affirmation by the director or officer of his good faith belief that he has met the standard of conduct necessary for indemnification by the Company as authorized by the Bylaws and (b) a written undertaking by him or on his behalf to repay the amount paid or reimbursed by the Company if it shall ultimately be determined that the standard of conduct was not met. The Company has entered into indemnification agreements with all of its officers and directors which provide for the indemnification of such officers and directors to the fullest extent permitted under Maryland law. Insofar as indemnification by the Company for liabilities arising under the Securities Act may be permitted to directors, officers and controlling persons of the Company pursuant to the indemnity agreements referenced herein or otherwise, the Company has been advised that in the opinion of the Commission such indemnification is against public policy as expressed in the Securities Act, and is, therefore, unenforceable.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From November 20, 1995 to December 31, 1995, none of the executive officers of the Company earned more than $100,000 in total compensation. However, the following table contains information on the annual cash compensation to be paid to the executive officers of the Company for the year ending December 31, 1996 for services rendered.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40" w:type="dxa"/>
            <w:vAlign w:val="bottom"/>
          </w:tcPr>
          <w:p>
            <w:pPr>
              <w:spacing w:after="0"/>
              <w:rPr>
                <w:sz w:val="20"/>
                <w:szCs w:val="20"/>
                <w:color w:val="auto"/>
              </w:rPr>
            </w:pPr>
            <w:r>
              <w:rPr>
                <w:rFonts w:ascii="Courier New" w:cs="Courier New" w:eastAsia="Courier New" w:hAnsi="Courier New"/>
                <w:sz w:val="18"/>
                <w:szCs w:val="18"/>
                <w:color w:val="auto"/>
              </w:rPr>
              <w:t>NAME OF INDIVIDUAL</w:t>
            </w:r>
          </w:p>
        </w:tc>
        <w:tc>
          <w:tcPr>
            <w:tcW w:w="4020" w:type="dxa"/>
            <w:vAlign w:val="bottom"/>
            <w:gridSpan w:val="2"/>
          </w:tcPr>
          <w:p>
            <w:pPr>
              <w:ind w:left="1220"/>
              <w:spacing w:after="0"/>
              <w:rPr>
                <w:sz w:val="20"/>
                <w:szCs w:val="20"/>
                <w:color w:val="auto"/>
              </w:rPr>
            </w:pPr>
            <w:r>
              <w:rPr>
                <w:rFonts w:ascii="Courier New" w:cs="Courier New" w:eastAsia="Courier New" w:hAnsi="Courier New"/>
                <w:sz w:val="18"/>
                <w:szCs w:val="18"/>
                <w:color w:val="auto"/>
                <w:w w:val="98"/>
              </w:rPr>
              <w:t>CAPACITIES IN WHICH SERVED</w:t>
            </w:r>
          </w:p>
        </w:tc>
        <w:tc>
          <w:tcPr>
            <w:tcW w:w="1260" w:type="dxa"/>
            <w:vAlign w:val="bottom"/>
          </w:tcPr>
          <w:p>
            <w:pPr>
              <w:spacing w:after="0"/>
              <w:rPr>
                <w:sz w:val="17"/>
                <w:szCs w:val="17"/>
                <w:color w:val="auto"/>
              </w:rPr>
            </w:pPr>
          </w:p>
        </w:tc>
        <w:tc>
          <w:tcPr>
            <w:tcW w:w="26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CASH COMPENSATION (1)</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0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spacing w:after="0"/>
              <w:rPr>
                <w:sz w:val="17"/>
                <w:szCs w:val="17"/>
                <w:color w:val="auto"/>
              </w:rPr>
            </w:pPr>
          </w:p>
        </w:tc>
        <w:tc>
          <w:tcPr>
            <w:tcW w:w="26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40" w:type="dxa"/>
            <w:vAlign w:val="bottom"/>
          </w:tcPr>
          <w:p>
            <w:pPr>
              <w:spacing w:after="0"/>
              <w:rPr>
                <w:sz w:val="20"/>
                <w:szCs w:val="20"/>
                <w:color w:val="auto"/>
              </w:rPr>
            </w:pPr>
            <w:r>
              <w:rPr>
                <w:rFonts w:ascii="Courier New" w:cs="Courier New" w:eastAsia="Courier New" w:hAnsi="Courier New"/>
                <w:sz w:val="18"/>
                <w:szCs w:val="18"/>
                <w:color w:val="auto"/>
                <w:w w:val="98"/>
              </w:rPr>
              <w:t>Joseph R. Tomkinson</w:t>
            </w:r>
          </w:p>
        </w:tc>
        <w:tc>
          <w:tcPr>
            <w:tcW w:w="5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Vice Chairman of the Board and Chief Executive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250,000</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(2)(3)(4)</w:t>
            </w:r>
          </w:p>
        </w:tc>
      </w:tr>
      <w:tr>
        <w:trPr>
          <w:trHeight w:val="203"/>
        </w:trPr>
        <w:tc>
          <w:tcPr>
            <w:tcW w:w="204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Officer of IMH</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Chairman of the Board and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5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Chief Executive Officer of ICIFC and IWLG</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S. Ashmore</w:t>
            </w:r>
          </w:p>
        </w:tc>
        <w:tc>
          <w:tcPr>
            <w:tcW w:w="4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President and Chief Operating Officer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IMH and</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200,000</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(2)(3)(4)</w:t>
            </w:r>
          </w:p>
        </w:tc>
      </w:tr>
      <w:tr>
        <w:trPr>
          <w:trHeight w:val="203"/>
        </w:trPr>
        <w:tc>
          <w:tcPr>
            <w:tcW w:w="204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Executive Vice</w:t>
            </w:r>
          </w:p>
        </w:tc>
        <w:tc>
          <w:tcPr>
            <w:tcW w:w="2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President of ICIFC and</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IWLG</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J. Johnson</w:t>
            </w:r>
          </w:p>
        </w:tc>
        <w:tc>
          <w:tcPr>
            <w:tcW w:w="5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Chief Financial Officer,</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2040" w:type="dxa"/>
            <w:vAlign w:val="bottom"/>
          </w:tcPr>
          <w:p>
            <w:pPr>
              <w:spacing w:after="0"/>
              <w:rPr>
                <w:sz w:val="17"/>
                <w:szCs w:val="17"/>
                <w:color w:val="auto"/>
              </w:rPr>
            </w:pPr>
          </w:p>
        </w:tc>
        <w:tc>
          <w:tcPr>
            <w:tcW w:w="4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Treasurer and Secretary of IMH, ICIFC</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IWLG</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C. Glass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IMH and Senior Vice-President,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90,000</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204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Operations, of</w:t>
            </w:r>
          </w:p>
        </w:tc>
        <w:tc>
          <w:tcPr>
            <w:tcW w:w="2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ICIFC and IWLG</w:t>
            </w: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68"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Management Agreement, the Company will reserve up to 1/5 of the Company's 25% Incentive Payment (see "Imperial Credit Advisors, Inc.--The Management Agreement--Management Fees") for distribution as bonuses to its employees in amounts to be determined by the Company's Board of Directors. Such payment shall be made in lieu of payment of a like amount to the Manager under the Management Agreement.</w:t>
      </w:r>
    </w:p>
    <w:p>
      <w:pPr>
        <w:spacing w:after="0" w:line="1"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20, 1995, each of the persons in the above table entered into a five-year employment agreement at an annual salary as stated in the table, subject to adjustment for inflation, plus bonuses described in footnote (3) and in the case of Messrs. Tomkinson and Ashmore those additional bonuses described in footnote (4).</w:t>
      </w:r>
    </w:p>
    <w:p>
      <w:pPr>
        <w:spacing w:after="0" w:line="6" w:lineRule="exact"/>
        <w:rPr>
          <w:rFonts w:ascii="Courier New" w:cs="Courier New" w:eastAsia="Courier New" w:hAnsi="Courier New"/>
          <w:sz w:val="18"/>
          <w:szCs w:val="18"/>
          <w:color w:val="auto"/>
        </w:rPr>
      </w:pPr>
    </w:p>
    <w:p>
      <w:pPr>
        <w:ind w:left="420" w:right="1999"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persons in the above table is entitled to be paid a quarterly bonus equal to the aggregate dividend such person would have received from the Company on all shares of Common Stock underlying unexercised stock options held by such person which were outstanding as of the date of the Initial Public Offering and on the date of payment of said bonus, provided however that (i) quarterly bonuses will be paid for each of the first three quarters of calendar 1996 only if the dividend that would be payable by the Company on shares of its Common Stock for the subject quarter after payment of all such quarterly bonuses equals or exceeds ten percent (10%) (on an annualized basis) of $13.00, (ii) quarterly bonuses will be paid for the next four calendar quarters thereafter only if the dividend that would be payable by the Company on shares of its Common Stock for the subject quarter after payment of all such quarterly bonuses equals or exceeds fifteen percent (15%) (on an annualized basis) of $13.00 and (iii) quarterly bonuses will be paid for each calendar quarter thereafter, if the dividend that would be payable by the Company on shares of its Common Stock for the subject quarter equals or exceeds such level as determined by a majority of the Unaffiliated Directors. Such persons will not be required to refund any portion of such bonuses previously earned regardless of the level of dividends in subsequent quarters. For the three months ended March 31, 1996 Messrs. Tomkinson, Ashmore and Johnson and Ms. Glass received bonuses of $37,050, $19,500, $9,750 and $9,750, respectively.</w:t>
      </w:r>
    </w:p>
    <w:p>
      <w:pPr>
        <w:spacing w:after="0" w:line="8"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Messrs. Tomkinson and Ashmore are each entitled to performance and profitability bonuses, in no event to exceed their respective base salaries. For the three months ended March 31, 1996 Messrs. Tomkinson and Ashmore received bonuses of $73,631 and $29,772.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adopted a Stock Option, Deferred Stock and Restricted Stock Plan (the "Stock Option Plan"), which provides for the grant of qualified incentive stock options ("ISOs") that meet the requirements of Section 422 of the Code, stock options not so qualified ("NQSOs") and deferred stock, restricted stock,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17" w:right="1440" w:bottom="970" w:gutter="0" w:footer="0" w:header="0"/>
        </w:sectPr>
      </w:pPr>
    </w:p>
    <w:bookmarkStart w:id="71" w:name="page72"/>
    <w:bookmarkEnd w:id="71"/>
    <w:p>
      <w:pPr>
        <w:ind w:right="1999"/>
        <w:spacing w:after="0" w:line="270" w:lineRule="auto"/>
        <w:rPr>
          <w:sz w:val="20"/>
          <w:szCs w:val="20"/>
          <w:color w:val="auto"/>
        </w:rPr>
      </w:pPr>
      <w:r>
        <w:rPr>
          <w:rFonts w:ascii="Courier New" w:cs="Courier New" w:eastAsia="Courier New" w:hAnsi="Courier New"/>
          <w:sz w:val="16"/>
          <w:szCs w:val="16"/>
          <w:color w:val="auto"/>
        </w:rPr>
        <w:t>appreciation rights and limited stock appreciation rights awards ("Awards"). The Stock Option Plan is administered by a committee of directors appointed by the Board of Directors (the "Committee"). ISOs may be granted to the officers and key employees of the Company. NQSOs and Awards may be granted to the directors, officers and key employees of the Company or any of its subsidiaries, to the directors, officers and key employees of the Manager, or to the Manager itself, and to the directors, officers and key employees of ICIFC. The exercise price for any option granted under the Stock Option Plan may not be less than 100% (or 110% in the case of ISOs granted to an employee who is deemed to own in excess of 10% of the outstanding Common Stock) of the fair market value of the shares of Common Stock at the time the option is granted. The purpose of the Stock Option Plan is to provide a means of performance-based compensation in order to attract and retain qualified personnel and to provide an incentive to those whose job performance affects the Company. The effective date of the Stock Option Plan was August 31, 1995.</w:t>
      </w:r>
    </w:p>
    <w:p>
      <w:pPr>
        <w:spacing w:after="0" w:line="38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anti-dilution provisions for stock splits, stock dividends and similar events, the Stock Option Plan authorizes the grant of options to purchase, and Awards of, up to 400,000 shares. If an option granted under the Stock Option Plan expires or terminates, or an Award is forfeited, the shares subject to any unexercised portion of such option or Award will again become available for the issuance of further options or Awards under the Stock Option Plan. The Company intends to have a proposal on its agenda for its stockholders' meeting in July 1996 to increase the size of its Stock Option Plan by 400,000 shares.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Stock Option Plan, the Company may make loans available to stock option holders, subject to Board of Directors' approval, in connection with the exercise of stock options granted under the Stock Option Plan. If shares of Common Stock are pledged as collateral for such indebtedness, such shares may be returned to the Company in satisfaction of such indebtedness. If so returned, such shares shall again be available for issuance in connection with future stock options and Awards under the Stock Option Plan.</w:t>
      </w:r>
    </w:p>
    <w:p>
      <w:pPr>
        <w:spacing w:after="0" w:line="211"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Unless previously terminated by the Board of Directors, no options or Awards may be granted under the Stock Option Plan after August 31, 2005.</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Options granted under the Stock Option Plan will become exercisable in accordance with the terms of the grant made by the Committee. Awards will be subject to the terms and restrictions of the award made by the Committee. The Committee has discretionary authority to select participants from among eligible persons and to determine at the time an option or Award is granted and, in the case of options, whether it is intended to be an ISO or a NQSO, and when and in what increments shares covered by the option may be purchased.</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current law, ISOs may not be granted to any individual who is not also an officer or employee of the Company. To ensure that IMH qualifies as a REIT, the Stock Option Plan provides that no options may be granted under the Stock Option Plan to any person who, assuming exercise of all options held by such person, would own or be deemed to own more than 9.5% of the outstanding shares of Common Stock of the Company.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option must terminate no more than 10 years from the date it is granted (or 5 years in the case of ISOs granted to an employee who is deemed to own in excess of 10% of the combined voting power of the Company's outstanding Common Stock). Options may be granted on terms providing for exercise in whole or in part at any time or times during their respective terms, or only in specified percentages at stated time periods or intervals during the term of the option, as determined by the Committee.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exercise price of any option granted under the Stock Option Plan is payable in full (1) in cash, (2) by surrender of shares of the Company's Common Stock already owned by the option holder having a market value equal to the aggregate exercise price of all shares to be purchased including, in the case of the exercise of NQSOs, restricted stock subject to an Award under the Stock Option Plan, (3) by cancellation of indebtedness owed by the Company to the option holder, (4) by a full recourse promissory note executed by the option holder, or (5) by any combination of the foregoing. The terms of any promissory note may be changed from time to time by the Board of Directors to comply with applicable Service or Commission regulations or other relevant pronouncements.</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564" w:gutter="0" w:footer="0" w:header="0"/>
        </w:sectPr>
      </w:pPr>
    </w:p>
    <w:bookmarkStart w:id="72" w:name="page73"/>
    <w:bookmarkEnd w:id="72"/>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may from time to time revise or amend the Stock Option Plan, and may suspend or discontinue it at any time. However, no such revision or amendment may impair the rights of any participant under any outstanding Award without his consent or may, without stockholder approval, increase the number of shares subject to the Stock Option Plan or decrease the exercise price of a stock option to less than 100% of fair market value on the date of grant (with the exception of adjustments resulting from changes in capitalization), materially modify the class of participants eligible to receive options or Awards under the Stock Option Plan, materially increase the benefits accruing to participants under the Stock Option Plan or extend the maximum option term under the Stock Option Plan.</w:t>
      </w:r>
    </w:p>
    <w:p>
      <w:pPr>
        <w:spacing w:after="0" w:line="216"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following table sets forth the stock options granted to the Company's current executive officers under the Stock Option Plan as of December 31,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INDIVIDUAL GRANTS</w:t>
      </w:r>
    </w:p>
    <w:p>
      <w:pPr>
        <w:jc w:val="center"/>
        <w:ind w:right="29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5160"/>
        <w:spacing w:after="0"/>
        <w:rPr>
          <w:sz w:val="20"/>
          <w:szCs w:val="20"/>
          <w:color w:val="auto"/>
        </w:rPr>
      </w:pPr>
      <w:r>
        <w:rPr>
          <w:rFonts w:ascii="Courier New" w:cs="Courier New" w:eastAsia="Courier New" w:hAnsi="Courier New"/>
          <w:sz w:val="18"/>
          <w:szCs w:val="18"/>
          <w:color w:val="auto"/>
        </w:rPr>
        <w:t>POTENTIAL</w:t>
      </w:r>
    </w:p>
    <w:p>
      <w:pPr>
        <w:ind w:left="4740"/>
        <w:spacing w:after="0" w:line="237" w:lineRule="auto"/>
        <w:rPr>
          <w:sz w:val="20"/>
          <w:szCs w:val="20"/>
          <w:color w:val="auto"/>
        </w:rPr>
      </w:pPr>
      <w:r>
        <w:rPr>
          <w:rFonts w:ascii="Courier New" w:cs="Courier New" w:eastAsia="Courier New" w:hAnsi="Courier New"/>
          <w:sz w:val="18"/>
          <w:szCs w:val="18"/>
          <w:color w:val="auto"/>
        </w:rPr>
        <w:t>REALIZABLE VALUE</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AT ASSUMED ANNUAL</w:t>
      </w:r>
    </w:p>
    <w:p>
      <w:pPr>
        <w:spacing w:after="0" w:line="16"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RATES OF STOCK</w:t>
      </w:r>
    </w:p>
    <w:p>
      <w:pPr>
        <w:ind w:left="100"/>
        <w:spacing w:after="0"/>
        <w:tabs>
          <w:tab w:leader="none" w:pos="53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PRICE</w:t>
      </w:r>
    </w:p>
    <w:p>
      <w:pPr>
        <w:ind w:left="220"/>
        <w:spacing w:after="0"/>
        <w:tabs>
          <w:tab w:leader="none" w:pos="1240" w:val="left"/>
          <w:tab w:leader="none" w:pos="47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PERCENTAGE</w:t>
      </w:r>
      <w:r>
        <w:rPr>
          <w:sz w:val="20"/>
          <w:szCs w:val="20"/>
          <w:color w:val="auto"/>
        </w:rPr>
        <w:tab/>
      </w:r>
      <w:r>
        <w:rPr>
          <w:rFonts w:ascii="Courier New" w:cs="Courier New" w:eastAsia="Courier New" w:hAnsi="Courier New"/>
          <w:sz w:val="16"/>
          <w:szCs w:val="16"/>
          <w:color w:val="auto"/>
        </w:rPr>
        <w:t>APPRECIATION FOR</w:t>
      </w:r>
    </w:p>
    <w:p>
      <w:pPr>
        <w:spacing w:after="0"/>
        <w:tabs>
          <w:tab w:leader="none" w:pos="1240" w:val="left"/>
          <w:tab w:leader="none" w:pos="2500" w:val="left"/>
          <w:tab w:leader="none" w:pos="4820" w:val="left"/>
        </w:tabs>
        <w:rPr>
          <w:sz w:val="20"/>
          <w:szCs w:val="20"/>
          <w:color w:val="auto"/>
        </w:rPr>
      </w:pPr>
      <w:r>
        <w:rPr>
          <w:rFonts w:ascii="Courier New" w:cs="Courier New" w:eastAsia="Courier New" w:hAnsi="Courier New"/>
          <w:sz w:val="18"/>
          <w:szCs w:val="18"/>
          <w:color w:val="auto"/>
        </w:rPr>
        <w:t>UNDERLYING</w:t>
        <w:tab/>
        <w:t>OF OPTIONS</w:t>
        <w:tab/>
        <w:t>EXERCISE</w:t>
      </w:r>
      <w:r>
        <w:rPr>
          <w:sz w:val="20"/>
          <w:szCs w:val="20"/>
          <w:color w:val="auto"/>
        </w:rPr>
        <w:tab/>
      </w:r>
      <w:r>
        <w:rPr>
          <w:rFonts w:ascii="Courier New" w:cs="Courier New" w:eastAsia="Courier New" w:hAnsi="Courier New"/>
          <w:sz w:val="16"/>
          <w:szCs w:val="16"/>
          <w:color w:val="auto"/>
        </w:rPr>
        <w:t>OPTION TERM (4)</w:t>
      </w:r>
    </w:p>
    <w:p>
      <w:pPr>
        <w:ind w:left="220"/>
        <w:spacing w:after="0"/>
        <w:tabs>
          <w:tab w:leader="none" w:pos="1240" w:val="left"/>
          <w:tab w:leader="none" w:pos="2620" w:val="left"/>
          <w:tab w:leader="none" w:pos="356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GRANTED TO</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EXPIRATION -----------------</w:t>
      </w:r>
    </w:p>
    <w:p>
      <w:pPr>
        <w:spacing w:after="0"/>
        <w:tabs>
          <w:tab w:leader="none" w:pos="2400" w:val="left"/>
          <w:tab w:leader="none" w:pos="3660" w:val="left"/>
          <w:tab w:leader="none" w:pos="4820" w:val="left"/>
          <w:tab w:leader="none" w:pos="5680" w:val="left"/>
        </w:tabs>
        <w:rPr>
          <w:sz w:val="20"/>
          <w:szCs w:val="20"/>
          <w:color w:val="auto"/>
        </w:rPr>
      </w:pPr>
      <w:r>
        <w:rPr>
          <w:rFonts w:ascii="Courier New" w:cs="Courier New" w:eastAsia="Courier New" w:hAnsi="Courier New"/>
          <w:sz w:val="18"/>
          <w:szCs w:val="18"/>
          <w:color w:val="auto"/>
        </w:rPr>
        <w:t>GRANTED (1) EMPLOYEES</w:t>
        <w:tab/>
        <w:t>($/SH) (2)</w:t>
        <w:tab/>
        <w:t>DATE (3)</w:t>
        <w:tab/>
        <w:t>5%($)</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sectPr>
          <w:pgSz w:w="11900" w:h="16838" w:orient="portrait"/>
          <w:cols w:equalWidth="0" w:num="2">
            <w:col w:w="1920" w:space="720"/>
            <w:col w:w="7579"/>
          </w:cols>
          <w:pgMar w:left="240" w:top="723" w:right="1440" w:bottom="0" w:gutter="0" w:footer="0" w:header="0"/>
          <w:type w:val="continuous"/>
        </w:sectPr>
      </w:pPr>
    </w:p>
    <w:p>
      <w:pPr>
        <w:ind w:left="2640" w:hanging="1579"/>
        <w:spacing w:after="0"/>
        <w:tabs>
          <w:tab w:leader="none" w:pos="2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Joseph R. Tomkinson.....</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95,000</w:t>
            </w:r>
          </w:p>
        </w:tc>
        <w:tc>
          <w:tcPr>
            <w:tcW w:w="1160" w:type="dxa"/>
            <w:vAlign w:val="bottom"/>
          </w:tcPr>
          <w:p>
            <w:pPr>
              <w:ind w:left="360"/>
              <w:spacing w:after="0"/>
              <w:rPr>
                <w:sz w:val="20"/>
                <w:szCs w:val="20"/>
                <w:color w:val="auto"/>
              </w:rPr>
            </w:pPr>
            <w:r>
              <w:rPr>
                <w:rFonts w:ascii="Courier New" w:cs="Courier New" w:eastAsia="Courier New" w:hAnsi="Courier New"/>
                <w:sz w:val="18"/>
                <w:szCs w:val="18"/>
                <w:color w:val="auto"/>
              </w:rPr>
              <w:t>48.7%</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11.25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8/30/2005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672,131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1,703,312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 Ashmore......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25.7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8/30/2005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353,753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896,480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 Johnson......</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12.8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8/30/2005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176,877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448,240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C.</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Glass...........</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12.8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8/30/2005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176,877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448,240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61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 options vest 100% on the third anniversary of the date of grant.</w:t>
      </w:r>
    </w:p>
    <w:p>
      <w:pPr>
        <w:spacing w:after="0" w:line="5"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for all options equals the fair market value of such shares at the date of grant as determined by the Committee.</w:t>
      </w:r>
    </w:p>
    <w:p>
      <w:pPr>
        <w:spacing w:after="0" w:line="5"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stock options expire seven years from the date of vesting or earlier upon termination of employment.</w:t>
      </w:r>
    </w:p>
    <w:p>
      <w:pPr>
        <w:spacing w:after="0" w:line="5" w:lineRule="exact"/>
        <w:rPr>
          <w:rFonts w:ascii="Courier New" w:cs="Courier New" w:eastAsia="Courier New" w:hAnsi="Courier New"/>
          <w:sz w:val="18"/>
          <w:szCs w:val="18"/>
          <w:color w:val="auto"/>
        </w:rPr>
      </w:pPr>
    </w:p>
    <w:p>
      <w:pPr>
        <w:ind w:left="420" w:right="3259" w:hanging="412"/>
        <w:spacing w:after="0" w:line="290" w:lineRule="auto"/>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reflect assumed rates of appreciation set forth in the Commission's executive compensation disclosure requirements.</w:t>
      </w:r>
    </w:p>
    <w:p>
      <w:pPr>
        <w:spacing w:after="0" w:line="17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granted to Messrs. Snavely, Shugerman and Markel, officers or Directors of the Manager, options to purchase 20,000, 20,000, and 15,000 shares of Common Stock, respectively, at a per share exercise price of $11.25, which was equal to the fair market value of such shares at the date of grant as determined by the Committee, with the same terms as the options set forth above. On the effective date of the Company's Initial Public Offering, the Company also granted to each of the Unaffiliated Directors options to purchase 15,000 shares of Common Stock at a per share exercise price equal to $13.00, vesting 100% on the first anniversary of the date of grant.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effective date of the Initial Public Offering, the Company commenced participation in the ICII contributory retirement plan ("401(k) Plan") for all full time employees with at least six months of service, which is designed to be tax deferred in accordance with the provisions of Section 401(k) of the Code. The 401(k) Plan provides that each participant may contribute from 2% to 14% of his or her salary, and the Company will contribute to the participant's plan account at the end of each plan year 50% of the first 4% of salary contributed by a participant. Under the 401(k) Plan, employees may elect to enroll on the first day of any month, provided that they have been employed for at least six months.</w:t>
      </w:r>
    </w:p>
    <w:p>
      <w:pPr>
        <w:spacing w:after="0" w:line="215"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Subject to the rules for maintaining the tax status of the 401(k) Plan, an additional Company contribution may be made at the discretion of the Company, as determined by the Unaffiliated Directors. Should a discretionary contribution be made, the contribution would first be allocated to those employees deferring salaries in excess of 4%. The matching contribution would be 50% of any deferral in excess of 4% up to a maximum deferral of 8%. Should discretionary contribution funds remain following the allocation outlined above, any remaining Company matching funds would be allocated as a 50% match of employee contributions, on the first 4% of the employee's deferrals.</w:t>
      </w:r>
    </w:p>
    <w:p>
      <w:pPr>
        <w:sectPr>
          <w:pgSz w:w="11900" w:h="16838" w:orient="portrait"/>
          <w:cols w:equalWidth="0" w:num="1">
            <w:col w:w="10219"/>
          </w:cols>
          <w:pgMar w:left="240" w:top="723" w:right="1440" w:bottom="0" w:gutter="0" w:footer="0" w:header="0"/>
          <w:type w:val="continuous"/>
        </w:sectPr>
      </w:pPr>
    </w:p>
    <w:bookmarkStart w:id="73" w:name="page74"/>
    <w:bookmarkEnd w:id="73"/>
    <w:p>
      <w:pPr>
        <w:jc w:val="both"/>
        <w:ind w:right="2099"/>
        <w:spacing w:after="0" w:line="236" w:lineRule="auto"/>
        <w:rPr>
          <w:sz w:val="20"/>
          <w:szCs w:val="20"/>
          <w:color w:val="auto"/>
        </w:rPr>
      </w:pPr>
      <w:r>
        <w:rPr>
          <w:rFonts w:ascii="Courier New" w:cs="Courier New" w:eastAsia="Courier New" w:hAnsi="Courier New"/>
          <w:sz w:val="18"/>
          <w:szCs w:val="18"/>
          <w:color w:val="auto"/>
        </w:rPr>
        <w:t>Company matching contributions will be made as of December 31st each year. No contributions for any period presented herein are considered by management to be material.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142" w:right="1440" w:bottom="1440" w:gutter="0" w:footer="0" w:header="0"/>
        </w:sectPr>
      </w:pPr>
    </w:p>
    <w:bookmarkStart w:id="74" w:name="page75"/>
    <w:bookmarkEnd w:id="74"/>
    <w:p>
      <w:pPr>
        <w:ind w:left="2540"/>
        <w:spacing w:after="0"/>
        <w:rPr>
          <w:sz w:val="20"/>
          <w:szCs w:val="20"/>
          <w:color w:val="auto"/>
        </w:rPr>
      </w:pPr>
      <w:r>
        <w:rPr>
          <w:rFonts w:ascii="Courier New" w:cs="Courier New" w:eastAsia="Courier New" w:hAnsi="Courier New"/>
          <w:sz w:val="18"/>
          <w:szCs w:val="18"/>
          <w:color w:val="auto"/>
        </w:rPr>
        <w:t>IMPERIAL CREDIT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MANAGER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Manager, ICAI, is a recently formed corporation, which commenced operations as of January 23, 1995. Prior to November 20, 1995, ICAI had no prior experience in managing or operating a REIT. Each of the executive officers of the Manager has significant experience in purchasing, financing, servicing and investing in mortgage loans and mortgage securities; however, they have not previously managed a REIT. ICAI is a wholly-owned subsidiary of ICII.</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has elected an outside advisor and in particular an advisor associated with ICII in order to efficiently and economically coordinate, assist and manage the duties and responsibilities of the Company. The Company believes that ICAI is more adequately suited than the Company to provide or advise it with contract negotiation, market information, implementation of cost controls, asset/liability modeling and management, servicing systems and management information systems. In addition, the Company believes that ICAI is better equipped than the Company to manage human resources and facilities because ICAI and ICII, with which ICAI has entered into a submanagement agreement to perform such administrative services for the Company as ICAI deems necessary, has experienced teams in these areas. The Company believes that ICAI, as an affiliate of ICII, is particularly appropriate to act as the Company's advisor because ICAI provided continuity to those businesses contributed pursuant to the Contribution Transaction and because of ICII's familiarity with such businesses.</w:t>
      </w:r>
    </w:p>
    <w:p>
      <w:pPr>
        <w:spacing w:after="0" w:line="200" w:lineRule="exact"/>
        <w:rPr>
          <w:sz w:val="20"/>
          <w:szCs w:val="20"/>
          <w:color w:val="auto"/>
        </w:rPr>
      </w:pPr>
    </w:p>
    <w:p>
      <w:pPr>
        <w:spacing w:after="0" w:line="390"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address of the Manager is 20371 Irvine Avenue, Santa Ana Heights, California 92707, telephone (714) 474-8500.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directors and executive officers of the Manager are as follows:</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760" w:space="720"/>
            <w:col w:w="6739"/>
          </w:cols>
          <w:pgMar w:left="240" w:top="717" w:right="1440" w:bottom="362" w:gutter="0" w:footer="0" w:header="0"/>
          <w:type w:val="continuous"/>
        </w:sectPr>
      </w:pPr>
    </w:p>
    <w:p>
      <w:pPr>
        <w:spacing w:after="0" w:line="24" w:lineRule="exact"/>
        <w:rPr>
          <w:sz w:val="20"/>
          <w:szCs w:val="20"/>
          <w:color w:val="auto"/>
        </w:rPr>
      </w:pPr>
    </w:p>
    <w:p>
      <w:pPr>
        <w:ind w:left="640"/>
        <w:spacing w:after="0" w:line="272" w:lineRule="auto"/>
        <w:rPr>
          <w:sz w:val="20"/>
          <w:szCs w:val="20"/>
          <w:color w:val="auto"/>
        </w:rPr>
      </w:pPr>
      <w:r>
        <w:rPr>
          <w:rFonts w:ascii="Courier New" w:cs="Courier New" w:eastAsia="Courier New" w:hAnsi="Courier New"/>
          <w:sz w:val="16"/>
          <w:szCs w:val="16"/>
          <w:color w:val="auto"/>
        </w:rPr>
        <w:t>H. Wayne Snavely* Joseph R. Tomkinson* Thomas O. Markel, Jr. William S. Ashmore* Stephen Shugerman Glenn R. Wilson,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Vice Chairman of the Board</w:t>
      </w:r>
    </w:p>
    <w:p>
      <w:pPr>
        <w:spacing w:after="0"/>
        <w:rPr>
          <w:sz w:val="20"/>
          <w:szCs w:val="20"/>
          <w:color w:val="auto"/>
        </w:rPr>
      </w:pPr>
      <w:r>
        <w:rPr>
          <w:rFonts w:ascii="Courier New" w:cs="Courier New" w:eastAsia="Courier New" w:hAnsi="Courier New"/>
          <w:sz w:val="18"/>
          <w:szCs w:val="18"/>
          <w:color w:val="auto"/>
        </w:rPr>
        <w:t>President and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ectPr>
          <w:pgSz w:w="11900" w:h="16838" w:orient="portrait"/>
          <w:cols w:equalWidth="0" w:num="2">
            <w:col w:w="2860" w:space="620"/>
            <w:col w:w="6739"/>
          </w:cols>
          <w:pgMar w:left="240" w:top="717" w:right="1440" w:bottom="362"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120" w:right="2199" w:hanging="112"/>
        <w:spacing w:after="0" w:line="235" w:lineRule="auto"/>
        <w:tabs>
          <w:tab w:leader="none" w:pos="2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these persons also serve as directors or executive officers of the Company.</w:t>
      </w:r>
    </w:p>
    <w:p>
      <w:pPr>
        <w:spacing w:after="0" w:line="208"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For biographical information on Messrs. Snavely, Tomkinson, and Ashmore, see "Imperial Credit Mortgage Holdings, Inc.--Directors and Executive Officers."</w:t>
      </w:r>
    </w:p>
    <w:p>
      <w:pPr>
        <w:spacing w:after="0" w:line="17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THOMAS O. MARKEL, JR. has been President and a Director of ICAI since March 1995. He has been President and Chief Executive Officer of HomeMac Corporation since August 1993. Prior to August 1993, he had been Executive Vice President, Chief Operating Officer and a Director of HomeMac since 1990. Mr. Markel is also Chairman of the Board, Chief Executive Officer and a Director of Homeowners' Mortgage Acceptance Corporation, the parent of HomeMac Corporation, which is currently inactive. Since 1990, Mr. Markel has primarily been involved in activities related to the analysis, financing and acquisition of mortgage banking entities and related assets. From March 1986 to March 1990, Mr. Markel was a Senior Vice President of Lepercq Capital Partners, responsible for capital market activities in the Western United States. Mr. Markel is a member of the Mortgage Bankers Association Educational and Loan Administration and Legislative Committees.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STEPHEN SHUGERMAN has been Executive Vice President of ICAI since August 1995 and was a Director of ICAI from August 1995 through October 1995. Mr. Shugerman has been a Director of ICII since December 1991 and has been President of SPTL since June 1987. From June 1985 to May 1987, Mr. Shugerman was President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362" w:gutter="0" w:footer="0" w:header="0"/>
          <w:type w:val="continuous"/>
        </w:sectPr>
      </w:pPr>
    </w:p>
    <w:bookmarkStart w:id="75" w:name="page76"/>
    <w:bookmarkEnd w:id="75"/>
    <w:p>
      <w:pPr>
        <w:ind w:right="2099"/>
        <w:spacing w:after="0" w:line="236" w:lineRule="auto"/>
        <w:rPr>
          <w:sz w:val="20"/>
          <w:szCs w:val="20"/>
          <w:color w:val="auto"/>
        </w:rPr>
      </w:pPr>
      <w:r>
        <w:rPr>
          <w:rFonts w:ascii="Courier New" w:cs="Courier New" w:eastAsia="Courier New" w:hAnsi="Courier New"/>
          <w:sz w:val="18"/>
          <w:szCs w:val="18"/>
          <w:color w:val="auto"/>
        </w:rPr>
        <w:t>of ATI Thrift &amp; Loan Association, a privately owned thrift and loan association, and, from 1979 to 1985, he was Senior Vice President of Imperial Thrift and Loan Association, a former subsidiary of Imperial Bank.</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Mr. Shugerman has recently served as president of the California Association of Thrift &amp; Loan Companies.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GLENN R. WILSON, JR. has been a Director of ICAI since October 1995. He has been Chairman since May 1995, and President and Chief Executive Officer of Knutson Mortgage Corporation since June 1988. From February 1987 to June 1988, Mr. Wilson served as President and Chief Executive Officer of FirsTier Mortgage Company. From May 1985 through February 1987, Mr. Wilson served as President of the Government National Mortgage Association. Mr. Wilson has served on the Board of Governors of the Mortgage Bankers Association of America since March 1993.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AGREEMENT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entered into a Management Agreement with the Manager effective on November 20, 1995, for an initial term of one year. Successive extensions, each for a period not to exceed one year, may be made by agreement between the Company and the Manager. The Management Agreement may be terminated by the Company or the Manager without cause at any time upon 60 days' written notice. Any such termination or failure to extend by the Company without cause shall result in the payment of a termination or non-renewal fee to the Manager determined by an independent appraisal. In addition, the Company and the Manager will have the right to terminate the Management Agreement upon the occurrence of certain specified events, including a breach by the other party of any provision contained in the Management Agreement which remains uncured for 30 days. The Company may renew or terminate the Management Agreement by a majority vote of its Unaffiliated Directors or by a vote of the holders of a majority of the outstanding shares of Common Stock. The Manager may terminate the Management Agreement by a majority vote of its Board of Directors.</w:t>
      </w:r>
    </w:p>
    <w:p>
      <w:pPr>
        <w:spacing w:after="0" w:line="208"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Since November 20, 1995 ICIFC has conducted its Conduit Operations under substantially identical principles, practices and policies employed when it was a subsidiary of ICII. The Manager oversees the operations of ICIFC to ensure that such principles, practices and policies are employed and followed.</w:t>
      </w:r>
    </w:p>
    <w:p>
      <w:pPr>
        <w:spacing w:after="0" w:line="18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terms of the Management Agreement, including the management fees, were determined by arms-length discussion based upon what management of both ICAI and IMH believe are comparable with other advisory relationships and have been approved by the Board of Directors of ICAI and the Unaffiliated Directors of IMH. IMH's Bylaws provide that the Unaffiliated Directors shall determine at least annually that the compensation paid to the Manager is reasonable in relation to the nature and quality of the services performed by the Manager.</w:t>
      </w:r>
    </w:p>
    <w:p>
      <w:pPr>
        <w:spacing w:after="0" w:line="18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Manager is at all times be subject to the supervision of the Company's Board of Directors and provides advisory services to the Company in accordance with the terms of the Management Agreement. The Manager is involved in three primary activities: (1) capital management--primarily the oversight of the Company's structuring, analysis, capital raising and investor relations activities; (2) asset management--primarily the analysis and oversight of the acquisition, management and disposition of Company assets; and (3) operations management--primarily the oversight of IMH's operating subsidiaries. Specifically, the Manager performs such services and activities relating to the assets and operations of the Company as may be appropriate, including:</w:t>
      </w:r>
    </w:p>
    <w:p>
      <w:pPr>
        <w:spacing w:after="0" w:line="189" w:lineRule="exact"/>
        <w:rPr>
          <w:sz w:val="20"/>
          <w:szCs w:val="20"/>
          <w:color w:val="auto"/>
        </w:rPr>
      </w:pPr>
    </w:p>
    <w:p>
      <w:pPr>
        <w:ind w:left="220" w:right="2419" w:firstLine="209"/>
        <w:spacing w:after="0" w:line="235" w:lineRule="auto"/>
        <w:tabs>
          <w:tab w:leader="none" w:pos="8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serving as the Company's consultant with respect to formulation of investment criteria by its Board of Directors;</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advising as to the issuance of commitments on behalf of the Company to purchase mortgage loans or purchasing mortgage loans and Agency Certificates meeting the investment criteria set from time to time by the Company's Board of Directors;</w:t>
      </w:r>
    </w:p>
    <w:p>
      <w:pPr>
        <w:spacing w:after="0" w:line="207" w:lineRule="exact"/>
        <w:rPr>
          <w:rFonts w:ascii="Courier New" w:cs="Courier New" w:eastAsia="Courier New" w:hAnsi="Courier New"/>
          <w:sz w:val="18"/>
          <w:szCs w:val="18"/>
          <w:color w:val="auto"/>
        </w:rPr>
      </w:pPr>
    </w:p>
    <w:p>
      <w:pPr>
        <w:ind w:left="220" w:right="2419" w:firstLine="209"/>
        <w:spacing w:after="0" w:line="235" w:lineRule="auto"/>
        <w:tabs>
          <w:tab w:leader="none" w:pos="8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advising the Company in connection with and assisting in its Long-Term Investment Operations;</w:t>
      </w:r>
    </w:p>
    <w:p>
      <w:pPr>
        <w:spacing w:after="0" w:line="208"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furnishing reports and statistical and economic research to the Company regarding the Company's activities and the services performed for the Company by the Manager;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362" w:gutter="0" w:footer="0" w:header="0"/>
        </w:sectPr>
      </w:pPr>
    </w:p>
    <w:bookmarkStart w:id="76" w:name="page77"/>
    <w:bookmarkEnd w:id="76"/>
    <w:p>
      <w:pPr>
        <w:ind w:left="220" w:right="2099" w:firstLine="209"/>
        <w:spacing w:after="0" w:line="273" w:lineRule="auto"/>
        <w:tabs>
          <w:tab w:leader="none" w:pos="85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monitoring and providing to the Board of Directors on an on-going basis price information and other data, obtained from certain nationally-recognized dealers who maintain markets in mortgage loans identified by the Board of Directors from time to time, and providing data and advice to the Board of Directors in connection with the identification of such dealers;</w:t>
      </w:r>
    </w:p>
    <w:p>
      <w:pPr>
        <w:spacing w:after="0" w:line="184" w:lineRule="exact"/>
        <w:rPr>
          <w:rFonts w:ascii="Courier New" w:cs="Courier New" w:eastAsia="Courier New" w:hAnsi="Courier New"/>
          <w:sz w:val="16"/>
          <w:szCs w:val="16"/>
          <w:color w:val="auto"/>
        </w:rPr>
      </w:pPr>
    </w:p>
    <w:p>
      <w:pPr>
        <w:ind w:left="220" w:right="2419" w:firstLine="209"/>
        <w:spacing w:after="0" w:line="235" w:lineRule="auto"/>
        <w:tabs>
          <w:tab w:leader="none" w:pos="8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the executive and administrative personnel, office space and services required in rendering services to the Company;</w:t>
      </w:r>
    </w:p>
    <w:p>
      <w:pPr>
        <w:spacing w:after="0" w:line="208" w:lineRule="exact"/>
        <w:rPr>
          <w:rFonts w:ascii="Courier New" w:cs="Courier New" w:eastAsia="Courier New" w:hAnsi="Courier New"/>
          <w:sz w:val="18"/>
          <w:szCs w:val="18"/>
          <w:color w:val="auto"/>
        </w:rPr>
      </w:pPr>
    </w:p>
    <w:p>
      <w:pPr>
        <w:ind w:left="220" w:right="2739" w:firstLine="209"/>
        <w:spacing w:after="0" w:line="236" w:lineRule="auto"/>
        <w:tabs>
          <w:tab w:leader="none" w:pos="8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overseeing the day-to-day operations of IMH and supervising the performance of such other administrative functions necessary in the management of IMH as directed by the Board of Directors of IMH;</w:t>
      </w:r>
    </w:p>
    <w:p>
      <w:pPr>
        <w:spacing w:after="0" w:line="208"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advising on the negotiation of agreements on behalf of the Company with banking institutions and other lenders to provide for the short-term borrowing of funds by the Company;</w:t>
      </w:r>
    </w:p>
    <w:p>
      <w:pPr>
        <w:spacing w:after="0" w:line="208" w:lineRule="exact"/>
        <w:rPr>
          <w:rFonts w:ascii="Courier New" w:cs="Courier New" w:eastAsia="Courier New" w:hAnsi="Courier New"/>
          <w:sz w:val="18"/>
          <w:szCs w:val="18"/>
          <w:color w:val="auto"/>
        </w:rPr>
      </w:pPr>
    </w:p>
    <w:p>
      <w:pPr>
        <w:jc w:val="both"/>
        <w:ind w:left="220" w:right="2099" w:firstLine="209"/>
        <w:spacing w:after="0" w:line="237" w:lineRule="auto"/>
        <w:tabs>
          <w:tab w:leader="none" w:pos="8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communicating on behalf of the Company with the holders of the equity and debt securities of the Company as required to satisfy the reporting and other requirements of any governmental bodies or agencies and to maintain effective relations with such holders;</w:t>
      </w:r>
    </w:p>
    <w:p>
      <w:pPr>
        <w:spacing w:after="0" w:line="207"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 agreement executed by the Company, advising as to the designation of a servicer for those loans sold by ICIFC whereby ICIFC elected not to service such loans;</w:t>
      </w:r>
    </w:p>
    <w:p>
      <w:pPr>
        <w:spacing w:after="0" w:line="208" w:lineRule="exact"/>
        <w:rPr>
          <w:rFonts w:ascii="Courier New" w:cs="Courier New" w:eastAsia="Courier New" w:hAnsi="Courier New"/>
          <w:sz w:val="18"/>
          <w:szCs w:val="18"/>
          <w:color w:val="auto"/>
        </w:rPr>
      </w:pPr>
    </w:p>
    <w:p>
      <w:pPr>
        <w:ind w:left="220" w:right="2519" w:firstLine="209"/>
        <w:spacing w:after="0" w:line="235" w:lineRule="auto"/>
        <w:tabs>
          <w:tab w:leader="none" w:pos="95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counseling the Company in connection with policy decisions to be made by its Board of Directors; and</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request by and in accordance with the direction of the Board of Directors of the Company, investing or reinvesting any money of the Company.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Manager has entered into a submanagement agreement with ICII to perform such administrative services for the Company as the Manager deems necessary. The Manager may enter into additional contracts with other parties, including ICII, to provide any such services for the Manager, which third party shall be approved by the Company's Board of Directors.</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As of March 31, 1996, ICAI had a total of nine officers and directors dedicated to the oversight of the Company's operations.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MANAGEMENT FEES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Manager is entitled to receive a per annum base management fee payable monthly in arrears of an amount equal to (1) 3/8 of 1% of Gross Mortgage Assets of IMH composed of other than Agency Certificates, conforming mortgage loans or mortgage-backed securities secured by or representing interests in conforming mortgage loans, plus (2) 1/8 of 1% of the remainder of Gross Mortgage Assets of IMH plus (3) 1/5 of 1% of the average daily asset balance of the outstanding amounts under IWLG's warehouse lending facilities. The term "Gross Mortgage Assets" means for any month the weighted average book value of the Mortgage Assets, before accumulated depreciation or bad debts or other similar noncash allowances, computed at the end of such month. For the three months ended March 31, 1996 and for the year ended December 31, 1995, the Manager earned $426,222 and $37,888 in management fees, respectively.</w:t>
      </w: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Manager is entitled to receive as incentive compensation for each fiscal quarter, an amount equal to 25% of the Net Income of the Company, before deduction of such incentive compensation, in excess of the amount that would produce an annualized Return on Equity equal to the Ten Year U.S. Treasury Rate plus 2%. The term "Return on Equity" is calculated for any quarter by dividing the Company's Net Income for the quarter by its Average Net Worth for the quarter. For such calculations, the "Net Income" of the Company means the income of the Company determined in accordance with GAAP before the Manager's incentive compensation, the deduction for dividends paid and any net operating loss deductions arising from losses in prior periods. A deduction for all of the Company's interest expenses for borrowed money is also taken in calculating Net Income. "Average Net Worth" for any period means the arithmetic average of the sum of the gross proceeds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2" w:right="1440" w:bottom="970" w:gutter="0" w:footer="0" w:header="0"/>
        </w:sectPr>
      </w:pPr>
    </w:p>
    <w:bookmarkStart w:id="77" w:name="page78"/>
    <w:bookmarkEnd w:id="77"/>
    <w:p>
      <w:pPr>
        <w:ind w:right="1999"/>
        <w:spacing w:after="0" w:line="238" w:lineRule="auto"/>
        <w:rPr>
          <w:sz w:val="20"/>
          <w:szCs w:val="20"/>
          <w:color w:val="auto"/>
        </w:rPr>
      </w:pPr>
      <w:r>
        <w:rPr>
          <w:rFonts w:ascii="Courier New" w:cs="Courier New" w:eastAsia="Courier New" w:hAnsi="Courier New"/>
          <w:sz w:val="18"/>
          <w:szCs w:val="18"/>
          <w:color w:val="auto"/>
        </w:rPr>
        <w:t>from any offering of its equity securities by the Company, before deducting any underwriting discounts and commissions and other expenses and costs relating to the offering, plus the Company's retained earnings (without taking into account any losses incurred in prior periods) computed by taking the daily average of such values during such period. The definition "Return on Equity" is only for purposes of calculating the incentive compensation payable, and is not related to the actual distributions received by stockholders. The 25% Incentive Payment to the Manager will be calculated quarterly in arrears before any income distributions are made to stockholders for the corresponding period. For the three months ended March 31, 1996 and for the year ended December 31, 1995, the Manager earned $129,000 and zero, respectively, for the Manager's Incentive Payment.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Management Agreement, the Company will reserve up to 1/5 of the Company's 25% Incentive Payment for distribution as bonuses to its employees in amounts to be determined by the Company's Board of Directors. Such payment shall be made in lieu of payment of a like amount to the Manager under the Management Agreement.</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Manager's base and incentive fees are calculated by the Manager within 60 days after the end of each calendar quarter, with the exception of the fourth quarter for which compensation will be computed within 30 days, and such calculation shall be promptly delivered to the Company. The Company is obligated to pay the base fee within 90 days after the end of each calendar quarter.</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Pursuant to the Management Agreement, the Company also pays all operating expenses except those specifically required to be borne by the Manager under the Management Agreement. The operating expenses generally required to be borne by the Manager include the compensation and other employment costs of the Manager's officers in their capacities as such and the cost of office space and out-of-pocket costs, equipment and other personnel required for oversight of the Company's operations. The expenses that will be paid by the Company will include issuance and transaction costs incident to the acquisition, disposition and financing of investments, regular legal and auditing fees and expenses of the Company, the fees and expenses of the Company's Directors, premiums for directors' and officers' liability insurance, premiums for fidelity and errors and omissions insurance, servicing and sub-servicing expenses, the costs of printing and mailing proxies and reports to stockholders, and the fees and expenses of the Company's custodian and transfer agent, if any. Reimbursements of expenses incurred by the Manager which are the responsibility of the Company are made monthly. For the three months ended March 31, 1996 and for the year ended December 31, 1995, there were no monies paid to the Manager as reimbursement of expenses.</w:t>
      </w: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 OPTION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has adopted the Stock Option Plan and the Manager and the directors, officers and employees of the Manager have been granted certain options or rights under the Stock Option Plan. See "Imperial Credit Mortgage Holdings, Inc.--Stock Options."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LIMITS OF RESPONSIBILITY</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Pursuant to the Management Agreement, the Manager does not assume any responsibility other than to render the services called for thereunder and is not responsible for any action of the Company's Board of Directors in following or declining to follow its advice or recommendations. The Manager, its directors, officers, shareholders and employees, reliable to the Company, any mortgage security issuer, any subsidiary of the Company, the Unaffiliated Directors, the Company's stockholders or any subsidiary's shareholders for acts performed in accordance with and pursuant to the Management Agreement, except by reason of acts or omissions constituting bad faith, willful misconduct, gross negligence or reckless disregard of their duties under the Management Agreement. The Manager is a recently formed company and does not have significant assets. Consequently, there can be no assurance that the Company would be able to recover any damages for claims it may have against the Manager. The Company has agreed to indemnify the Manager, and its directors, officers,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2" w:right="1440" w:bottom="767" w:gutter="0" w:footer="0" w:header="0"/>
        </w:sectPr>
      </w:pPr>
    </w:p>
    <w:bookmarkStart w:id="78" w:name="page79"/>
    <w:bookmarkEnd w:id="78"/>
    <w:p>
      <w:pPr>
        <w:ind w:right="1999"/>
        <w:spacing w:after="0" w:line="237" w:lineRule="auto"/>
        <w:rPr>
          <w:sz w:val="20"/>
          <w:szCs w:val="20"/>
          <w:color w:val="auto"/>
        </w:rPr>
      </w:pPr>
      <w:r>
        <w:rPr>
          <w:rFonts w:ascii="Courier New" w:cs="Courier New" w:eastAsia="Courier New" w:hAnsi="Courier New"/>
          <w:sz w:val="18"/>
          <w:szCs w:val="18"/>
          <w:color w:val="auto"/>
        </w:rPr>
        <w:t>shareholders and employees with respect to all expenses, losses, damages, liabilities, demands, charges and claims arising from any acts or omissions of the Manager made in good faith in the performance of its duties under the Management Agreement. See "Risk Factors--Relationship with ICII and its Affiliates; Conflicts of Interest."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RELATIONSHIPS WITH AFFILIATES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ICII is a publicly traded company whose shares of common stock are listed on the Nasdaq National Market. ICAI, a wholly-owned subsidiary of ICII, is the Manager and provides advisory services to the Company in accordance with the terms of the Management Agreement. As previously described, the Company utilizes the mortgage banking experience, management expertise and resources of ICII and ICAI in conducting its business. At May 15, 1996, ICII and SPTL, its wholly owned subsidiary, owned in the aggregate 10.0% of the Common Stock of the Company. In addition, a number of Directors and officers of the Company and ICIFC also serve as Directors and/or officers of ICII and ICAI. See "Imperial Credit Mortgage Holdings, Inc." and "Imperial Credit Advisors, Inc." The Company currently utilizes ICII as a resource for loan servicing, technology, information services, human resources services, management information services and accounting. However, the amount of services provided by ICII are expected to decrease as the Company takes on certain of these responsibilities. As of March 31, 1996 ICII owned all of the voting common stock and a 1% economic interest in ICIFC, and IMH owned all of the non-voting preferred stock of ICIFC, representing 99% of the economic interest in ICIFC. ICII has the power to elect all of the directors of ICIFC and the ability to control the outcome of all matters for which the consent of the holders of the common stock of ICIFC is required.</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With a view toward protecting the interests of the Company's stockholders, the Charter and the Bylaws of the Company provide that a majority of the Board of Directors (and a majority of each committee of the Board of Directors) must not be "Affiliates" of ICAI, as that term is defined in the Bylaws, and that the investment policies of the Company must be reviewed annually by a majority of the Unaffiliated Directors. Moreover, approval, renewal or termination of the Management Agreement requires the affirmative vote of a majority of the Unaffiliated Directors. The Management Agreement may be terminated by either the Company or the Manager upon 60 days' notice. Any such termination or failure to extend by the Company without cause shall result in the payment of a termination or non-renewal fee to the Manager determined by an independent appraisal. In addition, any transaction between the Company and any Affiliated Person requires the affirmative vote of a majority of the Unaffiliated Directors.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Certain activities of ICII and its affiliates may adversely affect the Company's operations. For a further description of such activities and the possible effects to the Company therefrom, including the terms and conditions of the Non-Compete Agreement and the Right of First Refusal Agreement, see "Certain Transactions--The Contribution Transaction" and "--Relationship with ICII and its Affiliates; Conflicts of Interest."</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CERTAIN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CONTRIBUTION TRANSACTION</w:t>
      </w:r>
    </w:p>
    <w:p>
      <w:pPr>
        <w:spacing w:after="0" w:line="207"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On November 20, 1995, ICII contributed to ICIFC certain of the operating assets and certain customer lists of ICII's mortgage conduit operations including all of ICII's mortgage conduit operations' commitments to purchase mortgage loans subject to rate locks from correspondents (having a principal balance of $44.3 million at November 20, 1995), in exchange for shares representing 100% of the common stock and 100% of the outstanding non-voting preferred stock of ICIFC. Simultaneously, on November 20, 1995, in exchange for 500,000 shares of Common Stock, ICII (1) contributed to IMH all of the outstanding non-voting preferred stock of ICIFC, which represents 99% of the economic interest in ICIFC, (2) caused SPTL to contribute to IMH certain of the operating assets and certain customer lists of SPTL's warehouse lending division, and (3) executed the Non-Compete Agreement and the Right of First Refusal Agreement, each having a term of two years from</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79" w:name="page80"/>
    <w:bookmarkEnd w:id="79"/>
    <w:p>
      <w:pPr>
        <w:ind w:right="1999"/>
        <w:spacing w:after="0" w:line="238" w:lineRule="auto"/>
        <w:rPr>
          <w:sz w:val="20"/>
          <w:szCs w:val="20"/>
          <w:color w:val="auto"/>
        </w:rPr>
      </w:pPr>
      <w:r>
        <w:rPr>
          <w:rFonts w:ascii="Courier New" w:cs="Courier New" w:eastAsia="Courier New" w:hAnsi="Courier New"/>
          <w:sz w:val="18"/>
          <w:szCs w:val="18"/>
          <w:color w:val="auto"/>
        </w:rPr>
        <w:t>November 20, 1995. Of the 500,000 shares issued pursuant to the Contribution Transaction, 450,000 shares were issued to ICII and 50,000 shares were issued to SPTL. All of the outstanding shares of common stock of ICIFC were retained by ICII. Lastly, IMH contributed all of the aforementioned operating assets of SPTL's warehouse lending operations contributed to it by SPTL to IWLG in exchange for shares representing 100% of the common stock of IWLG thereby forming it as a wholly owned subsidiary. At November 20, 1995, the net tangible book value of the assets contributed pursuant to the Contribution Transaction was $525,000. ICII and SPTL retained all other assets and liabilities related to the contributed operations which at November 20, 1995 consisted mostly of $11.7 million of MSRs, $22.4 million of finance receivables and $26.6 million in advances made by ICII and SPTL to fund mortgage conduit loan acquisitions and to fund finance receivables, respectively.</w:t>
      </w:r>
    </w:p>
    <w:p>
      <w:pPr>
        <w:spacing w:after="0" w:line="208"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Pursuant to the Non-Compete Agreement, ICII, except as set forth below, and any 25% entity may not compete with the Warehouse Lending Operations and may not establish a network of third party correspondent loan originators or another end-investor in non-conforming mortgage loans. ICII has also agreed</w:t>
      </w:r>
    </w:p>
    <w:p>
      <w:pPr>
        <w:spacing w:after="0" w:line="1" w:lineRule="exact"/>
        <w:rPr>
          <w:sz w:val="20"/>
          <w:szCs w:val="20"/>
          <w:color w:val="auto"/>
        </w:rPr>
      </w:pPr>
    </w:p>
    <w:p>
      <w:pPr>
        <w:ind w:right="1999" w:firstLine="8"/>
        <w:spacing w:after="0" w:line="238"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addition to any other remedy that may be available to the Company, it will sell all of the outstanding shares of common stock of ICIFC retained by ICII pursuant to the Contribution Transaction to any third party reasonably acceptable to the Company in the event that ICII or a 25% entity establishes a network of third party correspondent loan originators during the term of the Non-Compete Agreement and (2) that any sale by ICIFC of shares of its capital stock or sale or transfer by ICII of any shares of the common stock of ICIFC which ICII owns may only be made to a party reasonably acceptable to the Company. Pursuant to the Non-Compete Agreement, SPTL may continue to act as an end-investor in non-conforming mortgage loans and Southern Pacific Funding Corporation, a wholly-owned subsidiary of ICII, may continue its business, which is primarily to act as a wholesale originator and bulk purchaser of non-conforming mortgage loans. Pursuant to the Right of First Refusal Agreement, ICII has granted ICIFC a right of first refusal to purchase all non-conforming mortgage loans that ICII or any 25% entity originates or acquires and subsequently offers for sale and ICIFC has granted ICII, or any 25% entity designated by ICII, a right of first refusal to purchase all conforming mortgage loans that ICIFC acquires and subsequently offers for sale.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ARRANGEMENTS AND TRANSACTIONS WITH ICII</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Company and ICII have entered into agreements for the purpose of defining their ongoing relationships. These agreements have been developed in the context of a parent/subsidiary relationship and therefore are not the result of arms length negotiations between independent parties. It is the intention of the Company and ICII that such agreements and the transactions provided for therein, taken as a whole, are fair to both parties, while continuing certain mutually beneficial arrangements. However, there can be no assurance that each of such agreements, or the transactions provided for therein, have been effected on terms at least as favorable to the Company as could have been obtained from unaffiliated third parties.</w:t>
      </w:r>
    </w:p>
    <w:p>
      <w:pPr>
        <w:spacing w:after="0" w:line="1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entered into a sublease with ICII to lease a portion of its facilities as the Company's executive offices and administrative facilities. The Company believes that the terms of the sublease are at least as favorable as could have been obtained from an unaffiliated third party. For the three months ended March 31, 1996 and for the year ended December 31, 1995, $38,700 and $12,900, respectively, were paid by the Company to ICII under the sublease. See "Business--Facilities."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Additional or modified arrangements and transactions may be entered into by the Company, ICII, and their respective subsidiaries, in the future. Any such future arrangements and transactions will be determined through negotiation between the Company and ICII, and it is possible that conflicts of interest will be involved. The Unaffiliated Directors, consisting of directors independent of the Company, any manager of the Company (including ICAI) and ICII and its Affiliated Persons, must independently approve all transactions by and between the Company and ICII.</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1440" w:gutter="0" w:footer="0" w:header="0"/>
        </w:sectPr>
      </w:pPr>
    </w:p>
    <w:bookmarkStart w:id="80" w:name="page81"/>
    <w:bookmarkEnd w:id="80"/>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is a summary of certain arrangements and transactions between the Company and ICII.</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TAX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IMH has entered into an agreement (the "Tax Agreement") effective November 20, 1995 with ICII for the purposes of (1) providing for filing certain tax returns, (2) allocating certain tax liability and (3) establishing procedures for certain audits and contests of tax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Under the Tax Agreement, ICII has agreed to indemnify and hold IMH harmless from any tax liability attributable to periods ending on or before November 20, 1995, in excess of such taxes as IMH has already paid or provided for. For periods ending after November 20, 1995, IMH will pay its tax liability directly to the appropriate taxing authorities. To the extent (1) there are audit adjustments that result in a tax detriment to IMH or (2) IMH incurs losses that are carried back to an earlier year and any such adjustment described in (1) or loss described in (2) results in a tax benefit to ICII or its affiliates, then ICII will pay to IMH an amount equal to the tax benefit as that benefit is realized. ICII will also agree to indemnify IMH for any liability associated with the contribution of the preferred stock of ICIFC and certain operational assets of SPTL's warehouse lending division or any liability arising out of the filing of a federal consolidated return by ICII or any return filed with any state or local counterpart liability. To the extent there are audit adjustments that result in any tax detriment to ICII or any of its affiliates with respect to any period ending on or before November 20, 1995, as a result thereof, IMH for any taxable period after November 20, 1995 realizes a tax benefit, then IMH shall pay to ICII the amount of such benefit at such time or times as IMH actually realizes such benefit.</w:t>
      </w:r>
    </w:p>
    <w:p>
      <w:pPr>
        <w:spacing w:after="0" w:line="39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ICII generally controls audits and administrative and judicial proceedings with respect to periods ending on or before November 20, 1995, although ICII cannot compromise or settle any issue that increases IMH's liability without first obtaining the consent of IMH. IMH generally controls all other audits and administrative and judicial proceedings.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SERVICES AGREEMENT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Prior to November 20, 1995, the predecessors of ICIFC and IWLG were historically allocated expenses of various administrative services provided by ICII. The costs of such services were not directly attributable to a specific division or subsidiary and primarily included general corporate overhead, such as accounting and cash management services, human resources and other administrative functions. These expenses were calculated as a pro rata share of certain administrative costs based on relative assets and liabilities of the division or subsidiary, which management believed was a reasonable method of allocation. The allocations of expenses for the period January 1, 1995 to November 19, 1995, the three months ended March 31, 1995, and for the years ended December 31, 1994 and 1993 were $269,000, $75,000, $517,000, and $459,000, respectively.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and ICII have entered into a services agreement effective as of November 20, 1995 (the "Services Agreement") under which ICII provides various services to the Company, including data processing, human resource administration, general ledger accounts, check processing and payment of accounts payable. ICII charges fees for each of the services which it provides under the Services Agreement based upon usage. The Services Agreement has an initial term that ends on December 31, 1996 and is renewable annually thereafter. The Company may terminate the Services Agreement, in whole or in part, upon one month's written notice. As part of the services to be provided under the Services Agreement, ICII provides the Company with insurance coverage and self insurance programs, including health insurance. The charge to the Company for coverage will be based upon a pro rata portion of the costs to ICII for the various policies. Management believes that the terms of the Services Agreement are as favorable to the Company as could be obtained from independent third parties. For the three months ended March 31, 1996 and for the Interim Period, total expenses allocated to the Company related to these services were $114,000 and $29,000, respectively.</w:t>
      </w:r>
    </w:p>
    <w:p>
      <w:pPr>
        <w:spacing w:after="0" w:line="3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LOAN PURCHASE AND ADMINISTRATIVE SERVICES AGREEMENT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To facilitate the acquisition of mortgage loans and to monitor loans not serviced by ICIFC, the Company entered into an agreement (the "Loan Purchase and Administrative Services Agreement") with ICIFC effective as of November 20, 1995.</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0" w:gutter="0" w:footer="0" w:header="0"/>
        </w:sectPr>
      </w:pPr>
    </w:p>
    <w:bookmarkStart w:id="81" w:name="page82"/>
    <w:bookmarkEnd w:id="81"/>
    <w:p>
      <w:pPr>
        <w:ind w:right="1999" w:firstLine="211"/>
        <w:spacing w:after="0" w:line="238" w:lineRule="auto"/>
        <w:rPr>
          <w:sz w:val="20"/>
          <w:szCs w:val="20"/>
          <w:color w:val="auto"/>
        </w:rPr>
      </w:pPr>
      <w:r>
        <w:rPr>
          <w:rFonts w:ascii="Courier New" w:cs="Courier New" w:eastAsia="Courier New" w:hAnsi="Courier New"/>
          <w:sz w:val="18"/>
          <w:szCs w:val="18"/>
          <w:color w:val="auto"/>
        </w:rPr>
        <w:t>To assure a source of mortgage loans for the Long-Term Investment Operations, ICIFC granted the Company an option to purchase all non-conforming mortgage loans meeting the Company's investment criteria and policies. Commitments to acquire loans will obligate the Company to purchase such loans from ICIFC upon the closing and funding of the loans, pursuant to the terms and conditions specified in the commitment. Commitment fees to be paid by ICIFC in connection with the loans purchased by the Company shall be determined based on criteria established from time to time by ICIFC's Board of Directors, including a majority of the Unaffiliated Directors, at amounts which, in its judgment, are comparable to commitment fees then generally paid by other mortgage loan originators for loans of similar size and credit characteristics to those being acquired.</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event that a commitment expires or is canceled because the underlying loan does not close, ICIFC may renegotiate and the Company may agree to purchase a new loan with the borrower. As to each renegotiated loan, ICIFC, after deducting its customary expenses for such loan, shall reduce the price of such loan sold to the Company by 50% of the excess, if any, of (i) the Company's then current effective price for a similar mortgage loan with an identical interest rate at the time of the renegotiation over (ii) ICIFC's realized price from the borrower for such mortgage loan. ICIFC will furnish reports to the Company on a periodic basis with respect to the calculation and amounts of such differentials retained by ICIFC.</w:t>
      </w:r>
    </w:p>
    <w:p>
      <w:pPr>
        <w:spacing w:after="0" w:line="3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To provide additional protection for the Company's investments, ICIFC monitors and administers the servicing of the Company's mortgage loans which it is not then servicing, other than loans pooled to secure the issuance of mortgage-backed securities. Such monitoring and administrative services include, but are not limited to, the following activities: serving as the Company's consultant with respect to the servicing of loans; collection of information and submission of reports pertaining to the mortgage loans and to monies remitted to ICIFC or the Company by servicers; periodic review and evaluation of the performance of each servicer to determine its compliance with the terms and conditions of each servicing agreement and, if deemed appropriate, recommending to the Company the termination of such servicing agreement; acting as a liaison between servicers and the Company and working with servicers to the extent necessary to improve their servicing performance; review of and recommendations as to fire losses, easement problems and condemnation, delinquency and foreclosure procedures with regard to the mortgage loans; review of servicers' delinquency, foreclosure and other reports on mortgage loans; supervising claims filed under any mortgage insurance policies; enforcing the obligation of any servicer to repurchase mortgage loans from the Company; and coordinating and overseeing the performance of the servicing of the mortgage loans by the servicers to ensure that the mortgage loans meet the Company's eligibility requirements.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terms of the Loan Purchase and Administrative Services Agreement, ICIFC advances and remits to the Company any payment of principal and interest and any principal prepayments which another servicer fails to advance or remit on a timely basis, excluding certain nonrecoverable advances. In addition, if a servicer defaults in the performance of its servicing duties or, with the consent of the Company, assigns such duties to the Company, ICIFC assumes the servicing function of that servicer and all responsibilities set forth in the related servicing agreement, for the same fee the servicer was receiving at the time of such default.</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terms of the Loan Purchase and Administrative Services Agreement, ICIFC receives a monthly administrative services fee equal to 0.02% of the outstanding principal balance, as of the last day of the month for which the fee is paid, of the mortgage loans monitored and administered under the agreement on which principal and interest remittances for such month have been made in full to the Company. Additionally, ICIFC is paid for services rendered under any master servicing agreement which it may enter into with the Company or any subsidiary of the Company that has issued CMOs or other mortgage collateralized debt, an amount equal to 0.02% of the average CMO assets for each fiscal quarter. For the three months ended March 31, 1996 and the year ended December 31, 1995, no fees associated with the Loan Purchase and Administrative Service Agreement were paid or earned.</w:t>
      </w:r>
    </w:p>
    <w:p>
      <w:pPr>
        <w:spacing w:after="0" w:line="207" w:lineRule="exact"/>
        <w:rPr>
          <w:sz w:val="20"/>
          <w:szCs w:val="20"/>
          <w:color w:val="auto"/>
        </w:rPr>
      </w:pPr>
    </w:p>
    <w:p>
      <w:pPr>
        <w:jc w:val="both"/>
        <w:ind w:right="2419" w:firstLine="211"/>
        <w:spacing w:after="0" w:line="279" w:lineRule="auto"/>
        <w:rPr>
          <w:sz w:val="20"/>
          <w:szCs w:val="20"/>
          <w:color w:val="auto"/>
        </w:rPr>
      </w:pPr>
      <w:r>
        <w:rPr>
          <w:rFonts w:ascii="Courier New" w:cs="Courier New" w:eastAsia="Courier New" w:hAnsi="Courier New"/>
          <w:sz w:val="16"/>
          <w:szCs w:val="16"/>
          <w:color w:val="auto"/>
        </w:rPr>
        <w:t>The Loan Purchase and Administrative Services Agreement remains in force until one year after the effective date of the Initial Public Offering and thereafter it will be automatically renewed unless written notice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564" w:gutter="0" w:footer="0" w:header="0"/>
        </w:sectPr>
      </w:pPr>
    </w:p>
    <w:bookmarkStart w:id="82" w:name="page83"/>
    <w:bookmarkEnd w:id="82"/>
    <w:p>
      <w:pPr>
        <w:ind w:right="2319"/>
        <w:spacing w:after="0" w:line="235" w:lineRule="auto"/>
        <w:rPr>
          <w:sz w:val="20"/>
          <w:szCs w:val="20"/>
          <w:color w:val="auto"/>
        </w:rPr>
      </w:pPr>
      <w:r>
        <w:rPr>
          <w:rFonts w:ascii="Courier New" w:cs="Courier New" w:eastAsia="Courier New" w:hAnsi="Courier New"/>
          <w:sz w:val="18"/>
          <w:szCs w:val="18"/>
          <w:color w:val="auto"/>
        </w:rPr>
        <w:t>is delivered by either the Company or ICIFC 30 days prior to the end of the term or any renewal term of the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may terminate the Loan Purchase and Administrative Services Agreement upon 30 days' notice following the happening of one or more events specified in the agreement. Such events relate generally to ICIFC's proper and timely performance of its duties and obligations under the agreement. In addition, either party may terminate the Loan Purchase and Administrative Services Agreement without cause upon 30 days' notice.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TRANSACTIONS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MANAGEMENT AND SUB-SERVICING AGREEMENTS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ICAI, a wholly-owned subsidiary of ICII, oversees the day-to-day operations of the Company, subject to the supervision of the Company's Board of Directors, pursuant to the Management Agreement which became effective on November 20, 1995. For a description of the terms of the Management Agreement, see "--Imperial Credit Advisors, Inc.--Management Agreement."</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ICIFC acts as a servicer of mortgage loans acquired on a servicing released basis by the Company in its Long-Term Investment Operations pursuant to the terms of a Servicing Agreement which became effective on November 20, 1995. For a general description of the terms of such a Servicing Agreement, see "Business-- Servicing and Master Servicing." ICIFC subcontracts all of its servicing obligations under such loans to ICII pursuant to a sub-servicing agreement. The Company believes that the terms of such agreement are comparable to industry standards. In the first quarter of 1996, ICII contracted to sell substantially all of its mortgage servicing portfolio and eliminate a substantial portion of its mortgage servicing department. In response to ICII's decision to exit the mortgage servicing business, ICIFC is in the process of negotiations with another third party sub-servicer. ICIFC expects that the transfer of servicing responsibilities will take place in June 1996. However, there are no assurances that ICIFC will be able to complete the transfer by this 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BULK MORTGAGE LOAN PURCHASES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the three months ended March 31, 1996, ICIFC purchased from ICII bulk mortgage loans packages of 30-year fully amortizing six-month adjustable LIBOR and 30 and 15-year fixed rate first and second trust deed mortgages having a principal balance of $35.7 million and $128.5 million with premiums paid of $1.0 million and $2.4 million, respectively. Servicing rights on all mortgage loans were released to ICIFC.</w:t>
      </w:r>
    </w:p>
    <w:p>
      <w:pPr>
        <w:spacing w:after="0" w:line="210"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On December 5, 1995 and December 13, 1995, ICIFC purchased from ICII two bulk mortgage loan packages of 30-year fully amortizing six-month adjustable LIBOR and one-year adjustable Treasury Bill rate loans and 30- and 15-year fixed rate second trust deed mortgages with servicing rights on all mortgage loans released to ICIFC. The principal balances of the mortgages at the time of purchase were $106.7 million and $66.2 million, respectively, with a premium paid of $2.1 million and $1.6 million, respectively.</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December 29, 1995, ICIFC purchased from SPTL two bulk mortgage loan packages of 30-year fully amortizing six-month adjustable LIBOR and one-year adjustable Treasury Bill rate loans. The principal balances of the loans in the servicing released and servicing retained bulk packages, respectively, at the time of purchase were $300.0 million and $28.5 million with premiums paid of $3.4 million and $142,395, respectively.</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ICIFC had a 90 day recourse period from the dates of the purchase from ICII and SPTL for any loan(s) that were 30 to 60 day delinquent and/or lead to foreclosure. In this case, ICII or SPTL will repurchase the loans from ICIFC within 15 days of written notice from ICIFC. As to loans that do not have a prepayment penalty that pay off within the first year of purchase, ICII and SPTL will reimburse ICIFC the premium paid at purchase. This premium will be amortized 1/12th monthly and in the event of a shortage at the time of such pay off, ICII and SPTL will reimburse ICIFC the difference within 10 days of notification. ICIFC had 60 days from the date of purchases to complete its due diligence. Any loan that was found by ICIFC during this period to not comply</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2" w:right="1440" w:bottom="970" w:gutter="0" w:footer="0" w:header="0"/>
        </w:sectPr>
      </w:pPr>
    </w:p>
    <w:bookmarkStart w:id="83" w:name="page84"/>
    <w:bookmarkEnd w:id="83"/>
    <w:p>
      <w:pPr>
        <w:ind w:right="2619"/>
        <w:spacing w:after="0" w:line="237" w:lineRule="auto"/>
        <w:rPr>
          <w:sz w:val="20"/>
          <w:szCs w:val="20"/>
          <w:color w:val="auto"/>
        </w:rPr>
      </w:pPr>
      <w:r>
        <w:rPr>
          <w:rFonts w:ascii="Courier New" w:cs="Courier New" w:eastAsia="Courier New" w:hAnsi="Courier New"/>
          <w:sz w:val="18"/>
          <w:szCs w:val="18"/>
          <w:color w:val="auto"/>
        </w:rPr>
        <w:t>with ICIFC's underwriting guidelines, unless an exception is approved by ICIFC, is subject to repurchase by ICII and SPTL. ICII and SPTL will repurchase the loan(s) within 15 days of written notice from ICIFC and reimburse ICIFC any fee paid at purchase.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MORTGAGE-BACKED SECURITIES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On December 29, 1995, the Company purchased from SPTL DLJ Mortgage Acceptance Corp. Pass-Through Certificates Series 1995-4, Class B-1 and Class B-2 issued August 29, 1995. These certificates are backed primarily of a pool of certain conventional, 11th District Cost of Funds adjustable rate, one-to-four family, first lien mortgage loans, with terms to maturity of not more than 30 years. The mortgage loans underlying the certificates were originated or acquired by ICII. All of the mortgage loans are serviced by ICII in its capacity as master servicer. The Company purchased Class B-1 certificates having a current principal balance of $4.8 million and Class B-2 certificates having a current principal balance of $2.3 million, at a discount of $1.0 million and $0.7 million, respectively. The Class B-1 certificates are "B" rated and the Class B-2 are "BB" rated. There was no gain or loss recorded by either party as a result of this transaction.</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OTHER INVESTMENTS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December 29, 1995, IMH purchased a subordinated interest in a lease receivable securitization from Imperial Business Credit, Inc. ("IBC"), a wholly-owned subsidiary of ICII. The lease receivables underlying the security were originated by IBC. IMH purchased the subordinated lease receivables at the present value of estimated cash flows based on a discount rate of 12% amounting to a purchase price of $8.4 million. As a result of this transaction, IBC recorded a gain of $164,000. The discount rate used in determining the purchase price of the asset was confirmed by an independent third party.</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28, 1996, the Company purchased from ICII the beneficial interest in the Class A Trust Certificate for the Franchise Loan Receivable Trust 1995-B. The trust is securitized by loans originated by FMAC and secured by the franchisee's asset for the loan. The purchase price was $2.8 million based upon a discount rate of 16%.</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8, 1996, the Company purchased from ICII $5.0 million of its Senior Note obligations at a price of $4.5 million. The obligations are currently unregistered debt of ICII and cannot be traded or sold by the Company. ICII has agreed to register the notes under the Securities Act so the Company has the ability to sell them in the future.</w:t>
      </w:r>
    </w:p>
    <w:p>
      <w:pPr>
        <w:spacing w:after="0" w:line="209"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The Company may, from time to time, enter into additional transactions in the ordinary course of business with institutions with which certain of the Unaffiliated Directors are employed.</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SHARES ELIGIBLE FOR FUTURE SALE</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Upon completion of this Offering, the Company will have outstanding 6,750,000 shares of Common Stock, of which 500,000 shares are "restricted securities" as that term is defined in Rule 144, which will not become eligible for sale under Rule 144 until November 20, 1997, at the earliest. As described below, Rule 144 permits resales of restricted securities subject to certain restrictions. In general, under Rule 144 as currently in effect, a person (or persons whose shares are aggregated) who beneficially owned shares for at least two years, including any person who may be deemed an "affiliate" of the Company, would be entitled to sell within any three-month period a number of such shares that does not exceed the greater of 1% of the shares of the Company's Common Stock then outstanding or the average weekly trading volume in the Company's Common Stock during the four calendar weeks preceding the date on which notice of the sale is filed with the Commission. A person who is not deemed to have been an "affiliate" of the Company at any time during the three months immediately preceding a sale and who has beneficially owned shares for at least three years would be entitled to sell such shares under Rule 144 without regard to the volume limitation described above.</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84" w:name="page85"/>
    <w:bookmarkEnd w:id="84"/>
    <w:p>
      <w:pPr>
        <w:ind w:right="1999" w:firstLine="211"/>
        <w:spacing w:after="0" w:line="272" w:lineRule="auto"/>
        <w:rPr>
          <w:sz w:val="20"/>
          <w:szCs w:val="20"/>
          <w:color w:val="auto"/>
        </w:rPr>
      </w:pPr>
      <w:r>
        <w:rPr>
          <w:rFonts w:ascii="Courier New" w:cs="Courier New" w:eastAsia="Courier New" w:hAnsi="Courier New"/>
          <w:sz w:val="16"/>
          <w:szCs w:val="16"/>
          <w:color w:val="auto"/>
        </w:rPr>
        <w:t>ICII, SPTL and certain stockholders, who own in the aggregate 500,000 shares of Common Stock, and the Company have agreed with the Underwriters that, for a period of 120 days following the commencement of this Offering, they will not sell, contract to sell or otherwise dispose of any shares of Common Stock or rights to acquire such shares (other than pursuant to employee plans or the DRP) without the prior written consent of PaineWebber Incorporated.</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the Company has outstanding options to purchase 295,000 shares of Common Stock and has reserved an additional 105,000 shares for grant of future options under the Stock Option Plan. The Company intends to have a proposal on its agenda for its stockholders' meeting in July 1996 to increase the size of its Stock Option Plan by 400,000 shares. The Company intends to file a Registration Statement on Form S-8 covering the shares that have been reserved for issuance under the Stock Option Plan, thus permitting the resale of such shares in the public market after such stock options have been exercised.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also adopted the DRP, which will allow stockholders to have their dividend distributions from the Company automatically reinvested in additional shares of Common Stock that may be either issued by the Company or purchased on the open market. To the extent such shares are issued by the Company, such shares will be registered under the Securities Act, thus permitting the resale of such shares in the public market. See "Dividend Reinvestment Plan."</w:t>
      </w:r>
    </w:p>
    <w:p>
      <w:pPr>
        <w:spacing w:after="0" w:line="20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PRINCIPAL STOCKHOLDERS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known to the Company with respect to beneficial ownership of the Company's Common Stock as of May 15, 1996, as adjusted to reflect the sale of Common Stock being offered hereby, by</w:t>
      </w:r>
    </w:p>
    <w:p>
      <w:pPr>
        <w:ind w:left="420" w:hanging="412"/>
        <w:spacing w:after="0" w:line="233"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known to the Company to beneficially own more than five</w:t>
      </w:r>
    </w:p>
    <w:p>
      <w:pPr>
        <w:spacing w:after="0" w:line="5"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the Company's Common Stock, (2) each Director, (3) the Company's executive officers, and (4) all Directors and executive officers as a group. Unless otherwise indicated in the footnotes to the table, the beneficial owners named have, to the knowledge of the Company, sole voting and investment power with respect to the shares beneficially owned,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9"/>
              </w:rPr>
              <w:t>PERCENTAGE OF SHARES</w:t>
            </w:r>
          </w:p>
        </w:tc>
      </w:tr>
      <w:tr>
        <w:trPr>
          <w:trHeight w:val="203"/>
        </w:trPr>
        <w:tc>
          <w:tcPr>
            <w:tcW w:w="412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00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BENEFICIALLY OWNED</w:t>
            </w:r>
          </w:p>
        </w:tc>
      </w:tr>
      <w:tr>
        <w:trPr>
          <w:trHeight w:val="203"/>
        </w:trPr>
        <w:tc>
          <w:tcPr>
            <w:tcW w:w="4120" w:type="dxa"/>
            <w:vAlign w:val="bottom"/>
          </w:tcPr>
          <w:p>
            <w:pPr>
              <w:spacing w:after="0"/>
              <w:rPr>
                <w:sz w:val="17"/>
                <w:szCs w:val="17"/>
                <w:color w:val="auto"/>
              </w:rPr>
            </w:pP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3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BEFORE</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OWNED</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OFFERING</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OFFERING</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Imperial Credit Industries, Inc. (1)..</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374,538</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Southern Pacific Thrift and Loan Asso-</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ciation (2)..........................</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50,000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 Wayne Snavely......................</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Joseph R. Tomkinson...................</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William S. Ashmore....................</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Richard J. Johnson....................</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3,076</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Mary C. Glass.........................</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James Walsh...........................</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Frank P. Fillips......................</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Stephan R. Peers......................</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as a group (10 persons)..............</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3,576</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less than 1%</w:t>
      </w: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ICII's address is 20371 Irvine Avenue, Santa Ana Heights, California</w:t>
      </w:r>
    </w:p>
    <w:p>
      <w:pPr>
        <w:spacing w:after="0" w:line="3" w:lineRule="exact"/>
        <w:rPr>
          <w:rFonts w:ascii="Courier New" w:cs="Courier New" w:eastAsia="Courier New" w:hAnsi="Courier New"/>
          <w:sz w:val="18"/>
          <w:szCs w:val="18"/>
          <w:color w:val="auto"/>
        </w:rPr>
      </w:pPr>
    </w:p>
    <w:p>
      <w:pPr>
        <w:ind w:left="4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92707. ICII disclaims beneficial ownership of all 50,000 shares of the Company held by SPTL.</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SPTL's address is 12300 Wilshire Boulevard, Los Angeles, California 90025. SPTL is a wholly-subsidiary of ICII.</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3" w:right="1440" w:bottom="767" w:gutter="0" w:footer="0" w:header="0"/>
        </w:sectPr>
      </w:pPr>
    </w:p>
    <w:bookmarkStart w:id="85" w:name="page86"/>
    <w:bookmarkEnd w:id="85"/>
    <w:p>
      <w:pPr>
        <w:jc w:val="center"/>
        <w:ind w:right="199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authorized stock of the Company consists of 50,000,000 shares of Common Stock, $.01 par value, and 10,000,000 shares of Preferred Stock, $.01 par value. Each share of Common Stock is entitled to participate equally in dividends when and as declared by the Board of Directors and in the distribution of assets of the Company upon liquidation. Each share of Common Stock is entitled to one vote and will be fully paid and nonassessable by the Company upon issuance. Shares of the Common Stock of the Company have no preference, conversion, exchange, preemptive or cumulative voting rights. The authorized stock of the Company may be increased and altered from time to time as permitted by Maryland law. The Charter authorizes the Board of Directors to reclassify any unissued shares of its Common Stock in one or more classes or series.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Meetings of the stockholders of the Company are to be held annually, and special meetings may be called by the Board of Directors, the Chairman of the Board, the President, the Vice Chairman or a majority of the Unaffiliated Directors. The Charter reserves to the Company the right to amend any provision thereof in the manner prescribed by law.</w:t>
      </w:r>
    </w:p>
    <w:p>
      <w:pPr>
        <w:spacing w:after="0" w:line="209"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The Charter authorizes the Board of Directors to issue shares of Preferred Stock designated in one or more classes or series. The Preferred Stock may be issued from time to time with such designations, rights and preferences as shall be determined by the Board of Directors. Preferred Stock would be available for possible future financing of, or acquisitions by, the Company and for general corporate purposes without any legal requirement that further stockholder authorization for issuance be obtained. The issuance of Preferred Stock could have the effect of making an attempt to gain control of the Company more difficult by means of a merger, tender offer, proxy contest or otherwise. The Preferred Stock, if issued, may have a preference on dividend payments which could affect the ability of the Company to make dividend distributions to the common stockholders. As of the date hereof no shares of Preferred Stock have been issued. Certain provisions of the Company's Charter may also have the effect of delaying, deferring or preventing a change in control of the Company. See "Certain Provisions of Maryland Law and of the Company's Charter and Bylaws."</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Repurchase of Shares and Restrictions on Transfer. Two of the requirements of qualification for the tax benefits accorded by the REIT provisions of the Code are that (1) during the last half of each taxable year not more than 50% in value of the outstanding shares may be owned, actually or constructively, by or for five or fewer individuals (as defined in the Code to include certain entities), and (2) there must be at least 100 stockholders on 335 days of each taxable year of 12 months.</w:t>
      </w:r>
    </w:p>
    <w:p>
      <w:pPr>
        <w:spacing w:after="0" w:line="211"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In order that IMH may meet these requirements at all times, the Charter prohibits any person, other than ICII, as to the 374,538 shares which it owns (which excludes the 50,000 shares of Common Stock issued to SPTL pursuant to the Contribution Transaction, as to which ICII disclaims beneficial ownership), or groups of persons from acquiring or holding, actually or constructively, shares of Common Stock in excess of 9.5% (in value or in number of shares, whichever is more restrictive) of the aggregate of the outstanding shares of Common Stock. For this purpose, the term "ownership" is defined in accordance with the REIT provisions of the Code, the constructive ownership provisions of Section 544 of the Code, as modified by Section 856(h)(1)(B) of the Code, and Rule 13d-3 promulgated by the Commission under the Exchange Act and the term "person" is defined to include a "group," which is defined to have the same meaning as that term has for purposes of Section 13(d)(3) of the Exchange Act. Accordingly, shares of Common Stock owned or deemed to be owned by a person who individually owns less than 9.5% of the shares outstanding may nevertheless be in violation of the ownership limitations set forth in the Company's Charter.</w:t>
      </w: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constructive ownership provisions applicable under Section 544 of the Code attribute ownership of securities owned by a corporation, partnership, estate or trust proportionately to its stockholders, partners or beneficiaries, attribute ownership of securities owned by family members and partners to other members of the same family, treat securities with respect to which a person has an option to purchase as actually owned by that person, and set forth rules as to when securities constructively owned by a person are considered to be actually owned for the application of such attribution provisions (i.e., "reattribution"). For purposes of determining</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362" w:gutter="0" w:footer="0" w:header="0"/>
        </w:sectPr>
      </w:pPr>
    </w:p>
    <w:bookmarkStart w:id="86" w:name="page87"/>
    <w:bookmarkEnd w:id="86"/>
    <w:p>
      <w:pPr>
        <w:ind w:right="1999"/>
        <w:spacing w:after="0" w:line="237" w:lineRule="auto"/>
        <w:rPr>
          <w:sz w:val="20"/>
          <w:szCs w:val="20"/>
          <w:color w:val="auto"/>
        </w:rPr>
      </w:pPr>
      <w:r>
        <w:rPr>
          <w:rFonts w:ascii="Courier New" w:cs="Courier New" w:eastAsia="Courier New" w:hAnsi="Courier New"/>
          <w:sz w:val="18"/>
          <w:szCs w:val="18"/>
          <w:color w:val="auto"/>
        </w:rPr>
        <w:t>whether a person holds shares of Common Stock in violation of the ownership limitations set forth in the Company's Charter, a person or group will thus be treated as owning not only shares of Common Stock actually or constructively owned, but also any shares of Common Stock attributed to such person or group under the attribution rules described above. Ownership of shares of the Company's Common Stock through such attribution is generally referred to as constructive ownership.</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Charter further prohibits (a) any person from actually or constructively owning shares of Common Stock that would result in IMH being "closely held" under Section 856(h) of the Code or otherwise cause IMH to fail to qualify as a REIT, and (b) any person from transferring shares of Common Stock if such transfer would result in shares of Common Stock being owned by fewer than 100 persons. If any transfer of shares of Common Stock occurs which, if effective, would result in any person actually or constructively owning shares of Common Stock in excess or in violation of the above transfer or ownership limitations, then that number of shares of Common Stock the actual or constructive ownership of which otherwise would cause such person to violate such limitations (rounded to the nearest whole share) shall be automatically transferred to a trustee (the "Trustee") as trustee of a trust (the "Trust") for the exclusive benefit of one or more charitable beneficiaries (the "Charitable Beneficiary"), and the intended transferee shall not acquire any rights in such shares. Shares held by the Trustee shall be issued and outstanding shares of Common Stock. The intended transferee shall not benefit economically from ownership of any shares held in the Trust, shall have no rights to dividends and shall not possess any rights to vote or other rights attributable to the shares held in the Trust. The Trust shall have all voting rights and rights to dividends or other distributions with respect to shares held in the Trust, which rights shall be exercised for the exclusive benefit of the Charitable Beneficiary. Any dividend or other distribution paid prior to the discovery by the Company that shares of Common Stock have been transferred to the Trustee shall be paid with respect to such shares to the Trustee upon demand and any dividend or other distribution authorized but unpaid shall be paid when due to the Trustee. Any dividends or distributions so paid over to the Trustee shall be held in trust for the Charitable Beneficiary. The Board of Directors of the Company may, in their discretion, waive these requirements on owning shares in excess of the Ownership Limit.</w:t>
      </w:r>
    </w:p>
    <w:p>
      <w:pPr>
        <w:spacing w:after="0" w:line="214"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Within 20 days of receiving notice from the Company that shares of Common Stock have been transferred to the Trust, the Trustee shall sell the shares held in the Trust to a person, designated by the Trustee, whose ownership or the shares will not violate the ownership limitations set forth in the Company's Charter. Upon such sale, the interest of the Charitable Beneficiary in the shares sold shall terminate and the Trustee shall distribute the net proceeds of the sale to the intended transferee and to the Charitable Beneficiary as follows. The intented transferee shall receive the lesser of</w:t>
      </w:r>
    </w:p>
    <w:p>
      <w:pPr>
        <w:ind w:left="420" w:hanging="412"/>
        <w:spacing w:after="0" w:line="235" w:lineRule="auto"/>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paid by the intended tranasferee for the shares or, if the</w:t>
      </w:r>
    </w:p>
    <w:p>
      <w:pPr>
        <w:spacing w:after="0" w:line="4" w:lineRule="exact"/>
        <w:rPr>
          <w:rFonts w:ascii="Courier New" w:cs="Courier New" w:eastAsia="Courier New" w:hAnsi="Courier New"/>
          <w:sz w:val="18"/>
          <w:szCs w:val="18"/>
          <w:color w:val="auto"/>
        </w:rPr>
      </w:pPr>
    </w:p>
    <w:p>
      <w:pPr>
        <w:ind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intended transferee did not give value for the shares in connection with the event causing the shares to be held in the Trust (e.g., in the case of a gift, devise or other such transaction), the Market Price (as defined below) of the shares on the day of the event causing the shares to be held in the Trust and</w:t>
      </w:r>
    </w:p>
    <w:p>
      <w:pPr>
        <w:ind w:right="1999" w:firstLine="8"/>
        <w:spacing w:after="0" w:line="238"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share received by the Trustee from the sale or other disposition of the shares held in the Trust. Any net sale proceeds in excess of the amount payable to the intended transferee shall be immediately paid to the Charitable Beneficiary. In addition, shares of Common Stock transferred to the Trustee shall be deemed to have been offered for sale to the Company, or its designee, at a price per share equal to the lesser of (i) the price per share in the transaction that resulted in such transfer to the Trust (e.g., in the case of a devise or gift, the Market Price at the time of such devise or gift) and (ii) the Market Price on the date the Company, or its designee, accepts such offer. The Company shall have the right to accept such offer until the Trustee has sold the shares held in the Trust. Upon such a sale to the Company, the interest of the Charitable Beneficiary in the shares sold shall terminate and the Trustee shall distribute the net proceeds of the sale to the intended transferee.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"Market Price" on any date shall mean, with respect to any class or series of outstanding shares of the Company's stock, the Closing Price (as defined below) for such shares on such date. The "Closing Price" on any date shall mean the last sale price for such shares, regular way, or, in case no such sale takes place on such day, the average of the closing bid and asked prices, regular way, for such shares, in either case as reported in the principal consolidated transaction reporting system with respect to securities listed or admitted to trading on the NYSE or, if such shares are not listed or admitted to trading on the NYSE, as reported on the principal</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23" w:right="1440" w:bottom="0" w:gutter="0" w:footer="0" w:header="0"/>
        </w:sectPr>
      </w:pPr>
    </w:p>
    <w:bookmarkStart w:id="87" w:name="page88"/>
    <w:bookmarkEnd w:id="87"/>
    <w:p>
      <w:pPr>
        <w:ind w:right="1999"/>
        <w:spacing w:after="0" w:line="270" w:lineRule="auto"/>
        <w:rPr>
          <w:sz w:val="20"/>
          <w:szCs w:val="20"/>
          <w:color w:val="auto"/>
        </w:rPr>
      </w:pPr>
      <w:r>
        <w:rPr>
          <w:rFonts w:ascii="Courier New" w:cs="Courier New" w:eastAsia="Courier New" w:hAnsi="Courier New"/>
          <w:sz w:val="16"/>
          <w:szCs w:val="16"/>
          <w:color w:val="auto"/>
        </w:rPr>
        <w:t>consolidated transaction reporting system with respect to securities listed on the principal national securities exchange on which such shares are listed or admitted to trading or, if such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shares are not quoted by any such organization, the average of the closing bid and asked prices as furnished by a professional market maker making a market in such shares selected by the Board or Directors or, in the event that no trading price is available for such shares, the fair market value of the shares, as determined in good faith by the Board of Directors.</w:t>
      </w:r>
    </w:p>
    <w:p>
      <w:pPr>
        <w:spacing w:after="0" w:line="38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Every owner of more than 5% (or such lower percentage as required by the Code or the regulations promulgated thereunder) of all classes or series of the Company's stock, including shares of Common Stock, within 30 days after the end or each taxable year, is required to give written notice to the Company stating the name and address of such owner, the number of shares of each class and series of stock of the Company beneficially owned and a description of the manner in which such shares are held. Each such owner shall provide to the Company such additional information as the Company may request in order to determine the effect, if any, of such beneficial ownership on IMH's status as a REIT and to ensure compliance with the Ownership Limit.</w:t>
      </w:r>
    </w:p>
    <w:p>
      <w:pPr>
        <w:spacing w:after="0" w:line="189"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the Company's Common Stock is Boston EquiServe, L.P., North Quincy, Massachusetts.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CERTAIN PROVISIONS OF MARYLAND LAW AND</w:t>
      </w:r>
    </w:p>
    <w:p>
      <w:pPr>
        <w:ind w:left="2320"/>
        <w:spacing w:after="0" w:line="238" w:lineRule="auto"/>
        <w:rPr>
          <w:sz w:val="20"/>
          <w:szCs w:val="20"/>
          <w:color w:val="auto"/>
        </w:rPr>
      </w:pPr>
      <w:r>
        <w:rPr>
          <w:rFonts w:ascii="Courier New" w:cs="Courier New" w:eastAsia="Courier New" w:hAnsi="Courier New"/>
          <w:sz w:val="18"/>
          <w:szCs w:val="18"/>
          <w:color w:val="auto"/>
        </w:rPr>
        <w:t>OF THE COMPANY'S CHARTER AND BYLAWS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certain provisions of the MGCL and of the Charter and the Bylaws of IMH does not purport to be complete and is subject to and qualified in its entirety by reference to Maryland law and the Charter and the Bylaws of IMH, copies of which are filed as exhibits to the Registration Statement of which this Prospectus is a part. See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Charter provides that a director may be removed at any time but only by the affirmative vote of at least two-thirds of the votes entitled to be cast in the election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COMBINATIONS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MGCL, certain "business combinations" (including a merger, consolidation, share exchange or, in certain circumstances, an asset transfer or issuance or reclassification of equity securities) between a Maryland corporation and any person who beneficially owns 10% or more of the voting power of the corporation's shares or an affiliate of the corporation who, at any time within the two-year period prior to the date in question, was the beneficial owner of 10% or more of the voting power of the then outstanding voting stock of the corporation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held by the Interested Stockholder with whom (or with whose affiliate) the business combination is to be effected, unless, among other conditions, the corporation's common stockholders receive a minimum price (as defined in the MGCL) for their shares and the consideration is received in cash or in the same form as previously paid by the Interested Stockholder for its shares. These provisions of Maryland law do not apply, however, to business combinations that are approved or exempted by the board of directors of the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23" w:right="1440" w:bottom="1440" w:gutter="0" w:footer="0" w:header="0"/>
        </w:sectPr>
      </w:pPr>
    </w:p>
    <w:bookmarkStart w:id="88" w:name="page89"/>
    <w:bookmarkEnd w:id="88"/>
    <w:p>
      <w:pPr>
        <w:ind w:right="1999"/>
        <w:spacing w:after="0" w:line="238" w:lineRule="auto"/>
        <w:rPr>
          <w:sz w:val="20"/>
          <w:szCs w:val="20"/>
          <w:color w:val="auto"/>
        </w:rPr>
      </w:pPr>
      <w:r>
        <w:rPr>
          <w:rFonts w:ascii="Courier New" w:cs="Courier New" w:eastAsia="Courier New" w:hAnsi="Courier New"/>
          <w:sz w:val="18"/>
          <w:szCs w:val="18"/>
          <w:color w:val="auto"/>
        </w:rPr>
        <w:t>corporation prior to the time that the Interested Stockholder becomes an Interested Stockholder. Since ICII now beneficially owns less than 10.0% of the Company's voting shares (excluding 50,000 shares of Common Stock issued to SPTL in the Contribution Transaction as to which ICII disclaims beneficial ownership), ICII is not subject to the business combination provisions, of the MGCL. In addition, pursuant to the statute, the Company has exempted any business combinations involving ICII and, consequently, the five-year prohibition and the super-majority vote requirements of the statute will not in any event apply to business combinations between ICII and the Company. As a result, ICII may be able to enter into business combinations with the Company, which may not be in the best interest of the stockholders, without compliance by the Company with the super-majority vote requirements and the other provisions of the statute.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SHARE ACQUISITIONS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MGCL provides that "control shares" of a Maryland corporation acquired in a "control share acquisition" have no voting rights except to the extent approved by a vote of two-thirds of the votes entitled to be cast on the matter, excluding shares of stock owned by the acquiror, by officers or by directors who are employees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one-fifth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20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A person who has made or proposes to make a control share acquisition, upon satisfaction of certain conditions (including an undertaking to pay expenses) may compel the board of directors of the corporation to call a special meeting of stockholders to be held within 50 days of demand to consider the voting rights of the shares. If no request for a meeting is made, the corporation may itself present the question at any stockholders meeting.</w:t>
      </w:r>
    </w:p>
    <w:p>
      <w:pPr>
        <w:spacing w:after="0" w:line="186"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388"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Bylaws of the Company contain a provision exempting from the control share acquisition statute any and all acquisitions by any person of the Company's shares of stock. There can be no assurance that such provision will not be amended or eliminated at any time in the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THE CHARTER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reserves the right from time to time to make any amendment to its Charter, now or hereafter authorized by law. The Charter may be amended only by the affirmative vote of the stockholders of not less than majority of all of the votes entitled to be cast on the matter; provided however, provisions on removal of directors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22" w:right="1440" w:bottom="565" w:gutter="0" w:footer="0" w:header="0"/>
        </w:sectPr>
      </w:pPr>
    </w:p>
    <w:bookmarkStart w:id="89" w:name="page90"/>
    <w:bookmarkEnd w:id="89"/>
    <w:p>
      <w:pPr>
        <w:ind w:right="2319"/>
        <w:spacing w:after="0" w:line="236" w:lineRule="auto"/>
        <w:rPr>
          <w:sz w:val="20"/>
          <w:szCs w:val="20"/>
          <w:color w:val="auto"/>
        </w:rPr>
      </w:pPr>
      <w:r>
        <w:rPr>
          <w:rFonts w:ascii="Courier New" w:cs="Courier New" w:eastAsia="Courier New" w:hAnsi="Courier New"/>
          <w:sz w:val="18"/>
          <w:szCs w:val="18"/>
          <w:color w:val="auto"/>
        </w:rPr>
        <w:t>may be amended only by the affirmative vote of the holders of not less than two-thirds of all of the votes entitled to be cast in the election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DISSOLUTION OF THE COMPANY</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dissolution of the Company must be approved by the affirmative vote of the holders of not less than a majority of all of the votes entitled to be cast on the matter.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 NOTICE OF DIRECTOR NOMINATIONS AND NEW BUSINESS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Bylaws provide that (a) with respect to an annual meeting of stockholders, nominations of persons for election to the Board of Directors and the proposal of business to be considered by stockholders may be made only</w:t>
      </w:r>
    </w:p>
    <w:p>
      <w:pPr>
        <w:ind w:left="420" w:hanging="412"/>
        <w:spacing w:after="0" w:line="233"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Company's notice of the meeting, (2) by the Board of</w:t>
      </w:r>
    </w:p>
    <w:p>
      <w:pPr>
        <w:spacing w:after="0" w:line="5" w:lineRule="exact"/>
        <w:rPr>
          <w:rFonts w:ascii="Courier New" w:cs="Courier New" w:eastAsia="Courier New" w:hAnsi="Courier New"/>
          <w:sz w:val="18"/>
          <w:szCs w:val="18"/>
          <w:color w:val="auto"/>
        </w:rPr>
      </w:pPr>
    </w:p>
    <w:p>
      <w:pPr>
        <w:ind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Directors or (3) by a stockholder who is entitled to vote at the meeting and has complied with the advance notice procedures set forth in the Bylaws and</w:t>
      </w: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with respect to special meetings of stockholders, only the business specified in the Company's notice of meeting may be brought before the meeting of stockholders and nominations of persons for election to the Board of Directors may be made only (1) pursuant to the Company's notice of the meeting, (2) by the Board of Directors or (3) provided that the Board of Directors has determined that directors shall be elected at such meeting, by a stockholder who is entitled to vote at the meeting and has complied with the advance notice provisions set forth in the Bylaws.</w:t>
      </w: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ANTI-TAKEOVER EFFECT OF CERTAIN PROVISIONS OF MARYLAND LAW AND OF THE CHARTER AND BYLAWS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business combination provisions and, if the applicable provision in the Bylaws is rescinded, the control share acquisition provisions of the MGCL, the provisions of the Charter on removal of directors and the advance notice provisions of the Bylaws could delay, defer or prevent a transaction or a change in control of the Company that might involve a premium price of holders of Common Stock or otherwise be in their best interest.</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summary of material federal income tax considerations regarding the Company and the offering described herein is based on current law, is for general information only and is not tax advice. This summary does not purport to deal with all aspects of taxation that may be relevant to prospective purchasers of Common Stock in light of such purchasers' particular investment or tax circumstances, or to certain types of purchasers subject to special treatment under the federal income tax laws, including insurance companies, financial institutions, broker-dealers, tax-exempt organizations (except to the extent discussed under the heading "Taxation of Tax-Exempt Stockholders"), or foreign corporations and persons who are not citizens or residents of the United States. In addition, the summary below does not consider the effect of any foreign, state, local or other tax laws that may be applicable to prospective purchasers of Common Stock. References in the summary below to "IMH" refer to IMH and IWLG, its qualified REIT subsidiary, collectively.</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PROSPECTIVE PURCHASERS ARE ADVISED TO CONSULT THEIR OWN TAX ADVISORS REGARDING THE SPECIFIC TAX CONSEQUENCES TO THEM OF THE PURCHASE, OWNERSHIP AND SALE OF THE COMMON STOCK, INCLUDING THE FEDERAL, STATE, LOCAL, FOREIGN AND OTHER TAX CONSEQUENCES OF SUCH PURCHASE, OWNERSHIP AND SALE AND OF POTENTIAL CHANGES IN APPLICABLE TAX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IMH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General. IMH elected to be taxed as a REIT under Sections 856 through 860 of the Code, commencing with its taxable year ended December 31, 1995. IMH believes that, commencing with such taxable year, it has been organized and has operated in such a manner as to qualify for taxation as a REIT under the Code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22" w:right="1440" w:bottom="1440" w:gutter="0" w:footer="0" w:header="0"/>
        </w:sectPr>
      </w:pPr>
    </w:p>
    <w:bookmarkStart w:id="90" w:name="page91"/>
    <w:bookmarkEnd w:id="90"/>
    <w:p>
      <w:pPr>
        <w:ind w:right="2199"/>
        <w:spacing w:after="0" w:line="279" w:lineRule="auto"/>
        <w:rPr>
          <w:sz w:val="20"/>
          <w:szCs w:val="20"/>
          <w:color w:val="auto"/>
        </w:rPr>
      </w:pPr>
      <w:r>
        <w:rPr>
          <w:rFonts w:ascii="Courier New" w:cs="Courier New" w:eastAsia="Courier New" w:hAnsi="Courier New"/>
          <w:sz w:val="16"/>
          <w:szCs w:val="16"/>
          <w:color w:val="auto"/>
        </w:rPr>
        <w:t>commencing with such taxable year, and IMH intends to continue to operate in such a manner, but no assurance can be given that it has operated or will continue to operate in such a manner so as to qualify or remain qualified.</w:t>
      </w:r>
    </w:p>
    <w:p>
      <w:pPr>
        <w:spacing w:after="0" w:line="17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These sections of the Code are highly technical and complex. The following summary sets forth the material aspects of the sections that govern the federal income tax treatment of a REIT and its stockholders. This summary is qualified in its entirety by the applicable Code provisions, rules and regulations promulgated thereunder, and administrative and judicial interpretations thereof.</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the opinion of Latham &amp; Watkins, commencing with IMH's taxable year ended December 31, 1995, IMH was organized in conformity with the requirements for qualification as a REIT, and its proposed method of operation has enabled and will enable it to meet the requirements for qualification and taxation as a REIT under the Code. It must be emphasized that this opinion is based on various factual assumptions relating to the organization and operation of IMH and is conditioned upon certain representations made by IMH as to factual matters. In addition, this opinion is based upon the factual representations of IMH concerning its business and assets as set forth in the Prospectus. Moreover, such qualification and taxation as a REIT depends upon IMH's ability to meet (through actual annual operating results, distribution levels and diversity of stock owenership) the various qualification tests imposed under the Code discussed below, the results of which have not been and will not be reviewed by Latham &amp; Watkins. Accordingly, no assurance can be given that the actual results of IMH's operation for any particular taxable year have satisfied or will satisfy such requirements. Further, the anticipated income tax treatment described in this Prospectus may be changed, perhaps retroactively, by legislative, administrative or judicial action at any time. See "Risk Factors--Consequences of Failure to Maintain REIT Status; IMH Subject to Tax as Regular Corporation" and "Failure to Qualify."</w:t>
      </w:r>
    </w:p>
    <w:p>
      <w:pPr>
        <w:spacing w:after="0" w:line="394"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If IMH qualifies for taxation as a REIT, it generally will not be subject to federal corporate income taxes on its net income that is currently distributed to stockholders. This treatment substantially eliminates the "double taxation" (at the corporate and stockholder levels) that generally results from investment in a regular corporation. However, IMH will be subject to federal income tax as follows: First, IMH will be taxed at regular corporate rates on any undistributed REIT taxable income, including undistributed net capital gains. Second, under certain circumstances, IMH may be subject to the "alternative minimum tax" on its items of tax preference. Third, if IMH has</w:t>
      </w:r>
    </w:p>
    <w:p>
      <w:pPr>
        <w:spacing w:after="0" w:line="2" w:lineRule="exact"/>
        <w:rPr>
          <w:sz w:val="20"/>
          <w:szCs w:val="20"/>
          <w:color w:val="auto"/>
        </w:rPr>
      </w:pPr>
    </w:p>
    <w:p>
      <w:pPr>
        <w:ind w:right="1999" w:firstLine="8"/>
        <w:spacing w:after="0" w:line="268"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from the sale or other disposition of foreclosure property (generally, property acquired at or in lieu of foreclosure of the mortgage secured by such property or as a result of a default under a lease of such property) which is held primarily for sale to customers in the ordinary course of business, or (ii) other nonqualifying income from foreclosure property, it will be subject to tax at the highest corporate rate on such income. Fourth, if IMH has net income from prohibited transactions (which are, in general, certain sales or other dispositions of property held primarily for sale to customers in the ordinary course of business other than foreclosure property), such income will be subject to a 100% tax. Fifth, if IMH should fail to satisfy the 75% gross income test or the 95% gross income test (as discussed below), but has nonetheless maintained its qualification as a REIT because certain other requirements have been met, it will be subject to a 100% tax on an amount equal to (a) the gross income attributable to the greater of the amount by which IMH fails the 75% or 95% test multiplied by (b) a fraction intended to reflect IMH's profitability. Sixth, if IMH should fail to distribute during each calendar year at least the sum of (i) 85% of its REIT ordinary income for such year, (ii) 95% of its REIT capital gain net income for such year, and (iii) any undistributed taxable income from prior periods, IMH would be subject to a 4% excise tax on the excess of such required distribution over the amounts actually distributed. Seventh, with respect to any asset (a "Built-In Gain Asset") acquired by IMH from a corporation which is or has been a C corporation (i.e., generally a corporation subject to full corporate-level tax) in a transaction in which the basis of the Built-In Gain Asset in the hands of IMH is determined by reference to the basis of the asset in the hands of the C corporation, if IMH recognizes gain on the disposition of such asset during the ten-year period (the "Recognition Period") beginning on the date on which such asset was acquired by IMH, then, to the extent of the Built-In Gain (i.e., the excess of (a) the fair market value of such asset over (b) IMH's adjusted basis in such asset, determined as of the beginning of the Recognition Period), such gain will be subject to tax at the highest regular corporate rate pursuant to Treasury Regulations that have not yet been promulgated. The results described above with respect to the recognition of Built-In Gain assume that IMH will make an election pursuant to Notice 88-19 and that such treatment is not modified by certain revenue proposals in the Administration's 1997 Budget Proposal.</w:t>
      </w:r>
    </w:p>
    <w:p>
      <w:pPr>
        <w:sectPr>
          <w:pgSz w:w="11900" w:h="16838" w:orient="portrait"/>
          <w:cols w:equalWidth="0" w:num="1">
            <w:col w:w="10219"/>
          </w:cols>
          <w:pgMar w:left="240" w:top="722" w:right="1440" w:bottom="364" w:gutter="0" w:footer="0" w:header="0"/>
        </w:sectPr>
      </w:pPr>
    </w:p>
    <w:bookmarkStart w:id="91" w:name="page92"/>
    <w:bookmarkEnd w:id="91"/>
    <w:p>
      <w:pPr>
        <w:ind w:left="28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9019"/>
          </w:cols>
          <w:pgMar w:left="1440" w:top="344" w:right="1440" w:bottom="1440" w:gutter="0" w:footer="0" w:header="0"/>
        </w:sectPr>
      </w:pPr>
    </w:p>
    <w:bookmarkStart w:id="92" w:name="page93"/>
    <w:bookmarkEnd w:id="92"/>
    <w:p>
      <w:pPr>
        <w:ind w:right="1999" w:firstLine="211"/>
        <w:spacing w:after="0" w:line="269" w:lineRule="auto"/>
        <w:rPr>
          <w:sz w:val="20"/>
          <w:szCs w:val="20"/>
          <w:color w:val="auto"/>
        </w:rPr>
      </w:pPr>
      <w:r>
        <w:rPr>
          <w:rFonts w:ascii="Courier New" w:cs="Courier New" w:eastAsia="Courier New" w:hAnsi="Courier New"/>
          <w:sz w:val="16"/>
          <w:szCs w:val="16"/>
          <w:color w:val="auto"/>
        </w:rPr>
        <w:t>Requirements for Qualification. The Code defines a REIT as a corporation, trust or association (i) which is managed by one or more trustees or directors; (ii) the beneficial ownership of which is evidenced by transferable shares, or by transferable certificates of beneficial interest; (iii) which would be taxable as a domestic corporation, but for Sections 856 through 859 of the Code; (iv) which is neither a financial institution nor an insurance company subject to certain provisions of the Code; (v) the beneficial ownership of which is held by 100 or more persons; (vi) during the last half of each taxable year not more than 50% in value of the outstanding stock of which is owned, actually or constructively, by or for five or fewer individuals (as defined in the Code to include certain entities); and (vii) which meets certain other tests, described below, regarding the nature of its income and assets. The Code provides that conditions (i) to (iv), inclusive, must be met during the entire taxable year and that condition (v) must be met during at least 335 days of a taxable year of twelve months, or during a proportionate part of a taxable year of less than twelve months.</w:t>
      </w: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believes that it has previously issued sufficient shares of Common Stock with sufficient diversity of ownership to allow IMH to satisfy conditions (v) and (vi). In addition, the Company's Charter provides for restrictions regarding the transfer and ownership of shares, which restrictions are intended to assist IMH in continuing to satisfy the share ownership requirements described in (v) and (vi) above. Such ownership and transfer restrictions are described in "Description of Capital Stock-- Repurchase of Shares and Restrictions on Transfer." These restrictions may not ensure that IMH will, in all cases, be able to satisfy the share ownership requirements described above. If IMH fails to satisfy such share ownership requirements, IMH's status as a REIT will terminate. See "--Failure to Qualify."</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addition, a corporation may not elect to become a REIT unless its taxable year is the calendar year. IMH has a calendar taxable year.</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Ownership of IWLG. IMH has owned 100% of the stock of IWLG at all times IWLG has been in existence. As a result, IWLG will be treated as a "qualified REIT subsidiary." Code Section 856(i) provides that a corporation which is a "qualified REIT subsidiary" will not be treated as a separate corporation, and all assets, liabilities, and items of income, deduction, and credit of a "qualified REIT subsidiary" will be treated as assets, liabilities and such items (as the case may be) of the REIT for all purposes of the Code including the REIT qualification tests. Thus, in applying the requirements described herein, IWLG will be ignored, and all assets, liabilities and items of income, deduction and credit of such subsidiary will be treated as assets, liabilities and such items (as the case may be) of IMH. IWLG, therefore, will not be subject to federal income tax. In addition, IMH's ownership of the voting stock of IWLG will not violate the restrictions against ownership of securities of any one issuer which constitute more than 10% of such issuer's voting securities or more than 5% of the value of IMH's total assets, described below under "--Asset Tests."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Income Tests. In order to maintain its qualification as a REIT, IMH annually must satisfy three gross income requirements. First, at least 75% of IMH's gross income (excluding gross income from prohibited transactions) for each taxable year must be derived directly or indirectly from: (i) rents from real property; (ii) interest on obligations secured by mortgages on real property or on interests in real property; (iii) gain from the sale or other disposition of real property (including interests in real property and interests in mortgages on real property) not held primarily for sale to customers in the ordinary course of business; (iv) dividends or other distributions on, and gain (other than gain from prohibited transactions) from the sale or other disposition of, transferable shares in other real estate investment trusts; (v) abatements and refunds of taxes on real property; (vi) income and gain derived from foreclosure property; (vii) amounts (other than amounts the determination of which depend in whole or in part on the income or profits of any person) received or accrued as consideration for entering into agreements (a) to make loans secured by mortgages on real property or on interests in real property or (b) to purchase or lease real property (including interests in real property and interests in mortgages on real property); (viii) gain from the sale or other disposition of a real estate asset which is not a prohibited transaction; and (ix) qualified temporary investment income. Second, at least 95% of IMH's gross income (excluding gross income from prohibited transactions) for each taxable year must be derived from the sources described above with respect to the 75% gross income test, dividends, interest, and gain from the sale or disposition of stock or securities (or from any combination of the foregoing). Third, short-term gain from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3" w:right="1440" w:bottom="0" w:gutter="0" w:footer="0" w:header="0"/>
        </w:sectPr>
      </w:pPr>
    </w:p>
    <w:bookmarkStart w:id="93" w:name="page94"/>
    <w:bookmarkEnd w:id="93"/>
    <w:p>
      <w:pPr>
        <w:ind w:right="2099"/>
        <w:spacing w:after="0" w:line="237" w:lineRule="auto"/>
        <w:rPr>
          <w:sz w:val="20"/>
          <w:szCs w:val="20"/>
          <w:color w:val="auto"/>
        </w:rPr>
      </w:pPr>
      <w:r>
        <w:rPr>
          <w:rFonts w:ascii="Courier New" w:cs="Courier New" w:eastAsia="Courier New" w:hAnsi="Courier New"/>
          <w:sz w:val="18"/>
          <w:szCs w:val="18"/>
          <w:color w:val="auto"/>
        </w:rPr>
        <w:t>sale or other disposition of stock or securities, gain from prohibited transactions, and gain on the sale or other disposition of real property held for less than four years (apart from involuntary conversions and sales or other disposition of foreclosure property) must represent less than 30% of IMH's gross income (including gross income from prohibited transactions) for each taxable year.</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"interest" generally does not include any amount received or accrued (directly or indirectly) if the determination of such amount depends in whole or in part on the income or profits of any person. However, an amount received or accrued generally will not be excluded from the term "interest" solely by reason of being based on a fixed percentage or percentages of receipts or sales.</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Generally, if a loan is secured by both personal property and real property, interest must be allocated between the personal property and the real property, with only the interest allocable to the real property qualifying as mortgage interest under the 75% gross income test. Treasury Regulations provide that if a loan is secured by both personal and real property and the fair market value of the real property as of the commitment date equals or exceeds the amount of the loan, the entire interest amount will qualify under the 75% gross income test. If the amount of the loan exceeds the fair market value of the real property, the interest income allocated to the real property is an amount equal to the interest income multiplied by a fraction, the numerator of which is the fair market value of the real property as of the commitment date, and the denominator of which is the amount of the loan. The interest income allocated to the personal property is an amount equal to the excess of the total interest income over the interest income allocated to the real property.</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Interest earned on mortgage loans, and mortgage-backed securities secured by or representing an interest in such loans, pursuant to IMH's Long-Term Investment Operations will qualify as "interest" for purposes of the 95% and 75% gross income tests if such assets are treated as obligations secured by mortgages on real property or on interests in real property. However, income attributable to mortgage warehouse participations, mortgage securities (other than Qualified REIT Assets) that IMH holds directly or through IWLG, dividends on stock (including any dividends IMH receives from ICIFC), interest on any other obligations not secured by real property, and gains from the sale or disposition of stock or other securities that are not Qualified REIT Assets will not qualify under the 75% gross income test if such income is not treated as interest on obligations secured by mortgages on real property or on interests in real property or gain from the sale or other disposition of a Qualified REIT Asset, which is not a prohibited transaction. Such income will qualify under the 95% gross income test, however, if such income constitutes interest, dividends or gain from the sale or disposition of stock or securities. Income from loan guarantee fees, mortgage servicing contracts or other contracts under which IMH would earn fees for performing services will not qualify under either the 95% or 75% gross income tests if such income constitutes fees for services rendered by IMH or is not treated as interest (on obligations secured by mortgages on real property or on interests in real property for purposes of the 75% gross income test). Similarly, income from hedging, including the sale of hedges, will not qualify under the 75% or 95% gross income tests unless such hedges constitute Qualified Hedges.</w:t>
      </w:r>
    </w:p>
    <w:p>
      <w:pPr>
        <w:spacing w:after="0" w:line="200" w:lineRule="exact"/>
        <w:rPr>
          <w:sz w:val="20"/>
          <w:szCs w:val="20"/>
          <w:color w:val="auto"/>
        </w:rPr>
      </w:pPr>
    </w:p>
    <w:p>
      <w:pPr>
        <w:spacing w:after="0" w:line="39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Furthermore, ICIFC receives servicing and processing fees and income from gain on the sale of certain mortgage loans and mortgage securities in connection with the Conduit Operations. Such fees do not accrue to IMH, but IMH receives dividends on its nonvoting preferred stock in ICIFC. Such dividends will qualify under the 95% gross income test, but will not qualify under the 75% gross income test.</w:t>
      </w:r>
    </w:p>
    <w:p>
      <w:pPr>
        <w:spacing w:after="0" w:line="210"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In order to comply with the 95% and 75% gross income tests, IMH has limited and will continue to limit substantially all of the assets that it acquires to Qualified REIT Assets. As a result, IMH may limit the type of assets, including hedging contracts, that it otherwise might acquire and, therefore, the type of income it otherwise might receive, including income from hedging, other than income from Qualified Hedges. See "Business--Hedging."</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to comply with the 30% gross income test, IMH may have to hold mortgage loans and mortgage-backed securities for four or more years and securities (other than securities that are Qualified REIT Assets) and hedges for one year or more at times when IMH might otherwise have opted for the disposition of such assets for short term gains.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22" w:right="1440" w:bottom="159" w:gutter="0" w:footer="0" w:header="0"/>
        </w:sectPr>
      </w:pPr>
    </w:p>
    <w:bookmarkStart w:id="94" w:name="page95"/>
    <w:bookmarkEnd w:id="94"/>
    <w:p>
      <w:pPr>
        <w:ind w:right="1999" w:firstLine="211"/>
        <w:spacing w:after="0" w:line="271" w:lineRule="auto"/>
        <w:rPr>
          <w:sz w:val="20"/>
          <w:szCs w:val="20"/>
          <w:color w:val="auto"/>
        </w:rPr>
      </w:pPr>
      <w:r>
        <w:rPr>
          <w:rFonts w:ascii="Courier New" w:cs="Courier New" w:eastAsia="Courier New" w:hAnsi="Courier New"/>
          <w:sz w:val="16"/>
          <w:szCs w:val="16"/>
          <w:color w:val="auto"/>
        </w:rPr>
        <w:t>In order to comply with the REIT gross income tests, IMH has monitored and will continue to monitor its income, including income from dividends, warehouse lending, hedging transactions, futures contracts, servicing and sales of Mortgage Assets, gains on the sale of securities, and other income not derived from Qualified REIT Assets. IMH believes that the aggregate amount of any nonqualifying income in any taxable year has not exceeded and will not exceed the limit on nonqualifying income under the gross income tests.</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IMH fails to satisfy one or both of the 75% or 95% gross income tests for any taxable year, it may nevertheless qualify as a REIT for such year if it is entitled to relief under certain provisions of the Code. These relief provisions will be generally available if IMH's failure to meet such tests was due to reasonable cause and not due to willful neglect, IMH attaches a schedule of the sources of its income to its federal income tax return, and any incorrect information on the schedule was not due to fraud with intent to evade tax. It is not possible, however, to state whether in all circumstances IMH would be entitled to the benefit of these relief provisions. For example, if IMH fails to satisfy the gross income tests because nonqualifying income that IMH intentionally incurs exceeds the limits on such income, the Internal Revenue Service (the "Service") could conclude that IMH's failure to satisfy the tests was not due to reasonable cause. If these relief provisions are inapplicable to a particular set of circumstances involving IMH, IMH will not qualify as a REIT. As discussed above in "Federal Income Tax Considerations-- Taxation of IMH--General," even if these relief provisions apply, a tax would be imposed with respect to the excess net income. There can be no assurance that IMH will always be able to maintain compliance with the gross income tests for REIT qualification despite its periodic monitoring procedures. No similar mitigation provision provides relief if IMH fails the 30% gross income test. In such case, IMH would cease to qualify as a REIT. See "--Failure to Qualify.</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Any gain realized by IMH on the sale of any property (including mortgage loans and mortgage-backed securities) held as inventory or other property held primarily for sale to customers in the ordinary course of business will be treated as income from a prohibited transaction that is subject to a 100% penalty tax. Such prohibited transaction income may also have an adverse effect upon IMH's ability to satisfy the income tests for qualification as a REIT. Under existing law, whether property is held as inventory or primarily for sale to customers in the ordinary course of a trade or business is a question of fact that depends on all the facts and circumstances with respect to the particular transaction. ICIFC securitizes mortgage loans and sells the resulting mortgage securities. See "Business--Conduit Operations-- Securitization and Sale Process." If IMH were to sell such mortgage securities on a regular basis, there is a substantial risk that such sales would constitute prohibited transactions and that all of the profits therefrom would be subject to a 100% tax. Therefore, such sales have been made and will be made only by ICIFC. ICIFC is not subject to the 100% penalty tax on income from prohibited transactions, which is only applicable to a REIT.</w:t>
      </w: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Asset Tests. IMH, at the close of each quarter of its taxable year, must also satisfy three tests relating to the nature of its assets. First, at least 75% of the value of IMH's total assets must be represented by Qualified REIT Assets, cash, cash items and government securities. Qualified REIT Assets include (i) interests in real property and interests in mortgages on real property, (ii) interests in REMICs, and (iii) stock or debt instruments held for not more than one year purchased with the proceeds of a stock offering or long-term (at least five years) public debt offering of IMH. Second, not more than 25% of IMH's total assets may be represented by securities other than those in the 75% asset class. Third, of the investments included in the 25% asset class, the value of any one issuer's securities owned by IMH may not exceed 5% of the value of IMH's total assets and IMH may not own more than 10% of any one issuer's outstanding voting securities. IMH believes that substantially all of its assets, other than the nonvoting preferred stock of ICIFC, are Qualified REIT Assets.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described above, IMH will be treated as owning all assets, liabilities and items of income, deduction, and credit of IWLG, IMH's wholly-owned qualified REIT subsidiary. Pursuant to IWLG's Warehouse Lending Operations, IWLG provides short-term lines of credit ("warehouse loans") to ICIFC and approved mortgage banks most of which are correspondents of ICIFC; to finance mortgage loans during the time from the closing of the loans to their sale or other settlement with pre-approved investors, including the Long-Term Investment Operations. IWLG's warehouse loans are secured by pledges of mortgage notes owned by the borrowers that in turn are secured by mortgages on real property. The Service has ruled that similar warehouse loans are Qualified REIT Assets and that interest received on such loans is qualifying interest under the 75% gross income test.</w:t>
      </w:r>
    </w:p>
    <w:p>
      <w:pPr>
        <w:sectPr>
          <w:pgSz w:w="11900" w:h="16838" w:orient="portrait"/>
          <w:cols w:equalWidth="0" w:num="1">
            <w:col w:w="10219"/>
          </w:cols>
          <w:pgMar w:left="240" w:top="723" w:right="1440" w:bottom="0" w:gutter="0" w:footer="0" w:header="0"/>
        </w:sectPr>
      </w:pPr>
    </w:p>
    <w:bookmarkStart w:id="95" w:name="page96"/>
    <w:bookmarkEnd w:id="95"/>
    <w:p>
      <w:pPr>
        <w:ind w:left="28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9019"/>
          </w:cols>
          <w:pgMar w:left="1440" w:top="344" w:right="1440" w:bottom="1440" w:gutter="0" w:footer="0" w:header="0"/>
        </w:sectPr>
      </w:pPr>
    </w:p>
    <w:bookmarkStart w:id="96" w:name="page97"/>
    <w:bookmarkEnd w:id="96"/>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above, IMH owns 100% of the nonvoting preferred stock of ICIFC. IMH does not and will not own any of the voting securities of ICIFC, and therefore IMH will not be considered to own more than 10% of the voting securities of ICIFC. In addition, IMH believes that the aggregate value of its securities of ICIFC will not exceed, at the closing of the offering described herein, 5% of the total value of IMH's assets, and will not exceed such amount in the future. However, there can be no assurance that the Service will not contend that the value of the securities of ICIFC held by IMH exceeds the 5% value limitation.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5% value test requires that IMH revalue its assets at the end of each calendar quarter in which IMH acquires additional securities in ICIFC for the purpose of applying such test. Although IMH plans to take steps to ensure that it satisfies the 5% value test for any quarter with respect to which retesting is to occur, there can be no assurance that such steps will always be successful, or will not require a reduction in IMH's overall interest in ICIFC.</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Hedging contracts (other than Qualified Hedges), mortgage warehouse participation interests and certain types of other mortgage assets may be treated as securities of the entity issuing such agreements or interests. IMH has taken and will continue to take measures to prevent the value of such contracts, interests or assets issued by any one entity from exceeding 5% of the value of IMH's total assets as of the end of each calendar quarter. In particular, as of the end of each calendar quarter, IMH has limited and diversified and will continue to limit and diversify its ownership of securities of ICIFC, warehouse participations, hedging contracts and other mortgage securities that do not constitute Qualified REIT Assets to less than 25%, in the aggregate, by value of its portfolio, to less than 5% by value as to any single issuer, including ICIFC, and to less than 10% of the voting stock of any single issuer. Moreover, pursuant to its compliance guidelines, the Manager has monitored and will continue to monitor (on not less than a quarterly basis) the purchase and holding of IMH's assets in order for IMH to comply with the above asset tests.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purchasing mortgage-related securities, IMH and its counsel may rely on opinions of counsel for the issuer or sponsor of such securities given in connection with the offering of such securities, or statements made in related offering documents, for purposes of determining whether and to what extent those securities (and the income therefrom) constitute Qualified REIT Assets (and income) for purposes of the REIT asset tests (and the REIT gross income tests discussed above).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regular or residual interest in a REMIC will be treated as a Qualified REIT Asset for purposes of the REIT asset tests and income derived with respect to such interests will be treated as interest on obligations secured by mortgages on real property, assuming that at least 95% of the assets of the REMIC are Qualified REIT Assets. If less than 95% of the assets of the REMIC are Qualified REIT Assets, only a proportionate share of the assets of and income derived from the REMIC will be treated as qualifying under the REIT asset and income tests. IMH believes that its REMIC interests fully qualify for purposes of the REIT income and asset tests.</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IMH invests in a partnership, it will be deemed to own its proportionate share of the assets of the partnership and will be deemed to be entitled to the income of the partnership attributable to such share. In addition, the character of the assets and gross income of the partnership shall retain the same character in the hands of IMH for purposes of the gross income tests and the asset tests.</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After initially meeting the asset tests at the close of any quarter, IMH will not lose its status as a REIT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 IMH intends to maintain adequate records of the value of its assets to ensure compliance with the asset tests and to take such other actions within 30 days after the close of any quarter as may be required to cure any noncompliance. If IMH fails to cure noncompliance with the asset tests within such time period, IMH would cease to qualify as a REIT.</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23" w:right="1440" w:bottom="564" w:gutter="0" w:footer="0" w:header="0"/>
        </w:sectPr>
      </w:pPr>
    </w:p>
    <w:bookmarkStart w:id="97" w:name="page98"/>
    <w:bookmarkEnd w:id="97"/>
    <w:p>
      <w:pPr>
        <w:ind w:right="1999" w:firstLine="211"/>
        <w:spacing w:after="0" w:line="269" w:lineRule="auto"/>
        <w:rPr>
          <w:sz w:val="20"/>
          <w:szCs w:val="20"/>
          <w:color w:val="auto"/>
        </w:rPr>
      </w:pPr>
      <w:r>
        <w:rPr>
          <w:rFonts w:ascii="Courier New" w:cs="Courier New" w:eastAsia="Courier New" w:hAnsi="Courier New"/>
          <w:sz w:val="16"/>
          <w:szCs w:val="16"/>
          <w:color w:val="auto"/>
        </w:rPr>
        <w:t>Annual Distribution Requirements. IMH, in order to qualify as a REIT, is required to distribute dividends (other than capital gain dividends) to its stockholders in an amount at least equal to (i) the sum of (a) 95% of IMH's "REIT taxable income" (computed without regard to the dividends paid deduction and by excluding IMH's net capital gain) and (b) 95% of the net income (after tax), if any, from foreclosure property, minus (ii) the sum of certain items of noncash income. In addition, if IMH disposes of any Built-In Gain Asset during its Recognition Period, IMH will be required, pursuant to Treasury Regulations which have not yet been promulgated, to distribute at least 95% of the Built-in Gain (after tax), if any, recognized on the disposition of such asset. Such distributions must be paid in the taxable year to which they relate, or in the following taxable year if declared before IMH timely files its tax return for such year and if paid on or before the first regular dividend payment date after such declaration and if IMH so elects and specifies the dollar amount on its tax return. To the extent that IMH does not distribute all of its net capital gain or distributes at least 95%, but less than 100%, of its "REIT taxable income," as adjusted, it will be subject to tax thereon at regular ordinary and capital gain corporate tax rates. Furthermore, if IMH should fail to distribute during each calendar year at least the sum of (i) 85% of its REIT ordinary income for such year, (ii) 95% of its REIT capital gain net income for such year, and (iii) any undistributed taxable income from prior periods, IMH would be subject to a 4% excise tax on the excess of such required distribution over the amounts actually distributed. IMH intends to make timely distributions sufficient to satisfy these annual distribution requirements.</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IMH anticipates that it will generally have sufficient cash or liquid assets to enable it to satisfy the distribution requirements described above. It is possible, however, that IMH, from time to time, may not have sufficient cash or other liquid assets to meet these distribution requirements due to timing differences between (i) the actual receipt of income and actual payment of deductible expenses and (ii) the inclusion of such income and deduction of such expenses in arriving at taxable income of IMH. For instance, IMH may realize income without a corresponding cash payment, as in the case of original issue discount or accrued interest on defaulted Mortgage Loans. In the event that such timing differences occur, in order to meet the distribution requirements, IMH may find it necessary to sell assets, arrange for short-term, or possibly long-term, borrowings, or pay dividends in the form of taxable stock dividends.</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Service has ruled that if a REIT's dividend reinvestment plan allows stockholders of the REIT to elect to have cash distributions reinvested in shares of the REIT at a purchase price equal to at least 95% of fair market value on the distribution date, then such cash distributions reinvested pursuant to such a plan qualify under the 95% distribution test. The terms of IMH's DRP will comply with this ruling. See "Dividend Reinvestment Plan."</w:t>
      </w:r>
    </w:p>
    <w:p>
      <w:pPr>
        <w:spacing w:after="0" w:line="186"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Under certain circumstances, IMH may be able to rectify a failure to meet the distribution requirement for a year by paying "deficiency dividends" to stockholders in a later year, which may be included in IMH's deduction for dividends paid for the earlier year. Thus, IMH may be able to avoid being taxed on amounts distributed as deficiency dividends; however, IMH will be required to pay interest based upon the amount of any deduction taken for deficiency dividends.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RECORDKEEPING REQUIREMENTS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REIT is required to maintain certain records, including records regarding the actual and constructive ownership of its shares, and within 30 days after the end of its taxable year, to demand statements from persons owning above a specified level of the REIT's shares (e.g., if IMH has over 200 but fewer than 2,000 stockholders of record, from persons holding 1% or more of IMH's outstanding shares of common stock and if IMH has 200 or fewer shareholders of record, from persons holding 1/2% or more of the Common Stock) regarding their ownership of shares. In addition, IMH must maintain, as part of its records, a list of those persons failing or refusing to comply with this demand. Shareholders who fail or refuse to comply with the demand must submit a statement with their tax returns setting forth the actual stock ownership and other information. IMH has maintained and will continue to maintain the records and demand statements as required by Treasury Regulations.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23" w:right="1440" w:bottom="970" w:gutter="0" w:footer="0" w:header="0"/>
        </w:sectPr>
      </w:pPr>
    </w:p>
    <w:bookmarkStart w:id="98" w:name="page99"/>
    <w:bookmarkEnd w:id="98"/>
    <w:p>
      <w:pPr>
        <w:spacing w:after="0"/>
        <w:rPr>
          <w:sz w:val="20"/>
          <w:szCs w:val="20"/>
          <w:color w:val="auto"/>
        </w:rPr>
      </w:pPr>
      <w:r>
        <w:rPr>
          <w:rFonts w:ascii="Courier New" w:cs="Courier New" w:eastAsia="Courier New" w:hAnsi="Courier New"/>
          <w:sz w:val="18"/>
          <w:szCs w:val="18"/>
          <w:color w:val="auto"/>
        </w:rPr>
        <w:t>FAILURE TO QUALIFY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IMH fails to qualify for taxation as a REIT in any taxable year, and the relief provisions do not apply, IMH will be subject to tax (including any applicable alternative minimum tax) on its taxable income at regular corporate rates. Distributions to stockholders in any year in which IMH fails to qualify will not be deductible by IMH nor will they be required to be made. As a result, IMH's failure to qualify as a REIT would substantially reduce the cash available for distribution by IMH to its stockholders. In addition, if IMH fails to qualify as a REIT, all distributions to stockholders will be taxable as ordinary income, to the extent of IMH's current and accumulated earnings and profits, and, subject to certain limitations of the Code, corporate distributees may be eligible for the dividends received deduction. Unless entitled to relief under specific statutory provisions, IMH will also be disqualified from taxation as a REIT for the four taxable years following the year during which qualification was lost. It is not possible to state whether in all circumstances IMH would be entitled to such statutory relief. Failure to qualify for even one year could result in the IMH's incurring substantial indebtedness (to the extent borrowings are feasible) or liquidating substantial investments in order to pay the resulting taxes.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U.S. STOCKHOLDERS GENERALLY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used herein, the term "U.S. Stockholder" means a holder of shares of Common Stock who (for United States federal income tax purposes) (i) is a citizen or resident of the United States, (ii) is a corporation, partnership, or other entity created or organized in or under the laws of the United States or of any political subdivision thereof, or (iii) is an estate or trust the income of which is subject to United States federal income taxation regardless of its source.</w:t>
      </w:r>
    </w:p>
    <w:p>
      <w:pPr>
        <w:spacing w:after="0" w:line="211" w:lineRule="exact"/>
        <w:rPr>
          <w:sz w:val="20"/>
          <w:szCs w:val="20"/>
          <w:color w:val="auto"/>
        </w:rPr>
      </w:pPr>
    </w:p>
    <w:p>
      <w:pPr>
        <w:jc w:val="both"/>
        <w:ind w:right="2419" w:firstLine="211"/>
        <w:spacing w:after="0" w:line="268" w:lineRule="auto"/>
        <w:rPr>
          <w:sz w:val="20"/>
          <w:szCs w:val="20"/>
          <w:color w:val="auto"/>
        </w:rPr>
      </w:pPr>
      <w:r>
        <w:rPr>
          <w:rFonts w:ascii="Courier New" w:cs="Courier New" w:eastAsia="Courier New" w:hAnsi="Courier New"/>
          <w:sz w:val="16"/>
          <w:szCs w:val="16"/>
          <w:color w:val="auto"/>
        </w:rPr>
        <w:t>As long as IMH qualifies as a REIT, distributions made by IMH out of its current or accumulated earnings and profits (and not designated as capital gain dividends) will constitute dividends taxable to its taxable U.S.</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Stockholders as ordinary income. Such distributions will not be eligible for the dividends received deduction in the case of U.S. Stockholders that are corporations. Distributions made by IMH that are properly designated by IMH as capital gain dividends will be taxable to taxable U.S. Stockholders as long-term capital gains (to the extent that they do not exceed IMH's actual net capital gain for the taxable year) without regard to the period for which a U.S. Stockholder has held his shares of Common Stock. U.S. Stockholders that are corporations may, however, be required to treat up to 20% of certain capital gain dividends as ordinary income. To the extent that IMH makes distributions (not designated as capital gain dividends) in excess of its current and accumulated earnings and profits, such distributions will be treated first as a tax-free return of capital to each U.S. Stockholder, reducing the adjusted basis which such U.S. Stockholder has in his shares of Common Stock for tax purposes by the amount of such distribution (but not below zero), with distributions in excess of a U.S. Stockholder's adjusted basis in his shares taxable as capital gains (provided that the shares have been held as a capital asset). IMH will notify stockholders at the end of each year as to the portions of the distributions which constitute ordinary income, net capital gain or return of capital. Dividends declared by IMH in October, November, or December of any year and payable to a stockholder of record on a specified date in any such month shall be treated as both paid by IMH and received by the stockholder on December 31 of such year, provided that the dividend is actually paid by IMH on or before January 31 of the following calendar year. Stockholders may not include in their own income tax returns any net operating losses or capital losses of IMH.</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Dividends paid with respect to Common Stock that a DRP participant reinvests in Common Stock through purchases by the Agent in the open market will be treated for federal income tax purposes as having been received by the participant in the form of a taxable cash distribution. The amount of the cash distribution will be treated as a dividend to the extent IMH has current or accumulated earnings and profits for federal income tax purposes. Alternatively, dividends paid with respect to Common Stock that a participant reinvests in Common Stock that are registered and newly issued by IMH will be treated for federal income tax purposes as having been received by the participant in the form of a taxable stock distribution. In that case, the DRP participant will be treated as having received a dividend, taxable as ordinary income to the extent IMH has current or accumulated earnings and profits, in an amounot equal to the fair market value of the Common Stock purchased</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17" w:right="1440" w:bottom="362" w:gutter="0" w:footer="0" w:header="0"/>
        </w:sectPr>
      </w:pPr>
    </w:p>
    <w:bookmarkStart w:id="99" w:name="page100"/>
    <w:bookmarkEnd w:id="99"/>
    <w:p>
      <w:pPr>
        <w:ind w:right="1999"/>
        <w:spacing w:after="0" w:line="279" w:lineRule="auto"/>
        <w:rPr>
          <w:sz w:val="20"/>
          <w:szCs w:val="20"/>
          <w:color w:val="auto"/>
        </w:rPr>
      </w:pPr>
      <w:r>
        <w:rPr>
          <w:rFonts w:ascii="Courier New" w:cs="Courier New" w:eastAsia="Courier New" w:hAnsi="Courier New"/>
          <w:sz w:val="16"/>
          <w:szCs w:val="16"/>
          <w:color w:val="auto"/>
        </w:rPr>
        <w:t>with the reinvested dividends, generally on the date that the Agent credits such Common Stock to the DRP participant's account, plus brokerage commissions and fees, if any, subtracted from the participant's distribution.</w:t>
      </w:r>
    </w:p>
    <w:p>
      <w:pPr>
        <w:spacing w:after="0" w:line="17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Distributions made by IMH and gain arising from the sale or exchange by a U.S. Stockholder of shares of Common Stock will not be treated as passive activity income, and, as a result, U.S. Stockholders generally will not be able to apply any "passive losses" against such income or gain. Distributions made by IMH (to the extent they do not constitute a return of capital) generally will be treated as investment income for purposes of computing the investment income limitation. Gain arising from the sale or other disposition of Common Stock, however, will not be treated as investment income unless the U.S. Stockholder elects to reduce the amount of such U.S. Stockholder's total net capital gain eligible for the 28% maximum capital gains rate by the amount of such gain with respect to such Common Stock.</w:t>
      </w: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Upon any sale or other disposition of Common Stock, a U.S. Stockholder will recognize gain or loss for federal income tax purposes in an amount equal to the difference between (i) the amount of cash and the fair market value of any property received on such sale or other disposition and (ii) the holder's adjusted basis in such shares of Common Stock for tax purposes. Such gain or loss will be capital gain or loss if the shares have been held by the U.S. Stockholder as a capital asset, and will be long-term gain or loss if such shares have been held for more than one year. In general, any loss recognized by a U.S. Stockholder upon the sale or other disposition of shares of Common Stock that have been held for six months or less (after applying certain holding period rules) will be treated as a long-term capital loss, to the extent of distributions received by such U.S. Stockholder from IMH which were required to be treated as long-term capital gains.</w:t>
      </w:r>
    </w:p>
    <w:p>
      <w:pPr>
        <w:spacing w:after="0" w:line="38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IMH does not expect to acquire or retain residual interests issued by REMICs. Such residual interests, if acquired by a REIT, would generate excess inclusion income taxable to the REIT's stockholders in proportion to the dividends received from the REIT. Excess inclusion income cannot be offset by net operating losses of a stockholder. If the stockholder of a REIT holding a residual interest in a REMIC is a tax-exempt entity, the excess inclusion income is fully taxable to such stockholder as unrelated business taxable income. If allocated to a Non-U.S. Stockholder (as defined below), the excess inclusion income is subject to federal income tax withholding without reduction pursuant to any otherwise applicable tax treaty. Potential investors, and in particular, tax-exempt entities, are urged to consult with their tax advisors concerning this issue.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IMH has financed and intends to continue to finance the acquisition of mortgage assets by entering into reverse repurchase agreements, which are essentially loans secured by IMH's mortgage assets. IMH has entered into master repurchase agreements with secured lenders known as "counterparties." Typically, such master repurchase agreements have cross-collateralization provisions that afford the counterparty the right to foreclose on the mortgage assets pledged as collateral. If the Service were to successfully take the position that the cross-collateralization provisions of the master repurchase agreements result in IMH having issued debt instruments (the reverse repurchase agreements) with differing maturity dates secured by a pool of mortgage loans, a portion of IMH's income could be characterized as excess inclusion income. In the absence of any definitive authority on this issue, there can be no complete assurance regarding whether the cross-collateralization provisions of the master repurchase agreements will not cause IMH to realize excess inclusion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IMH will report to its U.S. Stockholders and the Service the amount of dividends paid during each calendar year, and the amount of tax withheld, if any. Under the backup withholding rules, a stockholder may be subject to backup withholding at the rate of 31% with respect to dividends paid unless such holder (a) is a corporation or comes within certain other exempt categories and, when required, demonstrates this fact, or (b) provides a taxpayer identification number, certifies as to no loss of exemption from backup withholding, and otherwise complies with applicable requirements of the backup withholding rules. A U.S. Stockholder that does not provide IMH with his correct taxpayer identification number may also be subject to penalties imposed by the Service. Any amount paid as backup withholding will be creditable against the stockholder's income tax liability. In addition, IMH may be required to withhold a portion of capital gain distributions to any stockholders who fail to certify their non-foreign status to IMH.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23" w:right="1440" w:bottom="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TAXATION OF TAX-EXEMPT STOCKHOLDERS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Generally, a tax-exempt investor that is exempt from tax on its investment income, such as an individual retirement account (IRA) or a 401(k) plan, that holds Common Stock as an investment will not be subject to tax on dividends paid by IMH. However, if such tax-exempt investor is treated as having purchased its Common Stock with borrowed funds, some or all of its dividends from the Common Stock will be subject to tax. In addition, under some circumstances certain pension plans (including 401(k) plans but not including IRAs and government pension plans) that own more than 10% (by value) of IMH's outstanding stock, including Common Stock, could be subject to tax on a portion of their Common Stock dividends even if their Common Stock is held for investment and is not treated as acquired with borrowed funds. The ownership limit (see "Description of Capital Stock--Repurchase of Shares and Restrictions on Transfer"), however, should prevent this result.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STOCKHOLDERS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preceding discussion does not address the rules governing United States federal income taxation of the ownership and disposition of Common Stock by persons that are not U.S. Stockholders ("Non-U.S. Stockholders"). In general, Non-U.S. Stockholders may be subject to special tax withholding requirements on distributions from IMH and with respect to their sale or other disposition of Common Stock, except to the extent reduced or eliminated by an income tax treaty between the United States and the Non-U.S. Stockholder's country. A Non-U.S. Stockholder who is a stockholder of record and is eligible for reduction or elimination of withholding must file an appropriate form with IMH in order to claim such treatment. Non-U.S. Stockholders should consult their own tax advisors concerning the federal income tax consequences to them of a purchase of shares of IMH's Common Stock including the federal income tax treatment of dispositions of interests in, and the receipt of distributions from IMH.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CONSEQUENCES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ICIFC will not qualify as a REIT and will pay federal, state and local income taxes on its taxable income at normal corporate rates. As a result, ICIFC is able to distribute only its net after-tax earnings to its shareholders, including IMH, as dividend distributions, thereby reducing the cash available for distribution by IMH to its stockholders.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IMH and its stockholders may be subject to state or local taxation in various state or local jurisdictions, including those in which it or they transact business or reside. The state and local tax treatment of IMH and its stockholders may not conform to the federal income tax consequences discussed above. Consequently, prospective stockholders should consult their own tax advisors regarding the effect of state and local tax laws on an investment in IMH.</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ERISA INVESTORS</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 fiduciary of a pension, profit-sharing, stock bonus plan or individual retirement account, including a plan for self-employed individuals and their employees or any other employee benefit plan (collectively, a "Plan") subject to the prohibited transaction provisions of the Code or the fiduciary responsibility provisions of the Employee Retirement Income Security Act of 1974 ("ERISA"), should consider (1) whether the ownership of the Common Stock is in accordance with the documents and instruments governing the Plan, (2) whether the ownership of the Common Stock is consistent with the fiduciary's responsibilities and satisfies the requirements of Part 4 of Subtitle A of Title I of ERISA (if applicable) and, in particular, the diversification, prudence and liquidity requirements of Section 404 of ERISA, (3) the prohibitions under ERISA on improper delegation of control over, or responsibility for "plan assets" and ERISA's imposition of co-fiduciary liability on a fiduciary who participates in, or permits (by action or inaction) the occurrence of, or fails to remedy a known breach of duty by another fiduciary with respect to plan assets, and (4) the need to value the assets of the Plan annually.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to the "plan assets" issue noted in clause (3) above, based on certain representations of the Company, Special Tax Counsel is of the opinion that the Common Stock will be "publicly offered securities" within the meaning of the regulations defining "plan assets" and therefore, in most circumstances, the Common Stock, and not the underlying assets of the Company, will be considered the assets of a Plan investing in the Common Stock.</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17" w:right="1440" w:bottom="0" w:gutter="0" w:footer="0" w:header="0"/>
        </w:sectPr>
      </w:pPr>
    </w:p>
    <w:bookmarkStart w:id="101" w:name="page102"/>
    <w:bookmarkEnd w:id="101"/>
    <w:p>
      <w:pPr>
        <w:ind w:left="34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Under the terms of and subject to the conditions contained in the underwriting agreement (the "Underwriting Agreement") between the Company and the Underwriters named below (the "Underwriters"), for whom PaineWebber Incorporated, Oppenheimer &amp; Co., Inc., Stifel, Nicolaus &amp; Company, Incorporated and EVEREN Securities, Inc. are acting as representatives (the "Representatives"), the Underwriters have severally agreed to purchase from the Company and the Company has agreed to sell to the Underwriters severally the respective number of shares set forth opposite its name below:</w:t>
      </w:r>
    </w:p>
    <w:p>
      <w:pPr>
        <w:spacing w:after="0" w:line="200" w:lineRule="exact"/>
        <w:rPr>
          <w:sz w:val="20"/>
          <w:szCs w:val="20"/>
          <w:color w:val="auto"/>
        </w:rPr>
      </w:pPr>
    </w:p>
    <w:p>
      <w:pPr>
        <w:spacing w:after="0" w:line="38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8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NUMBER OF</w:t>
            </w:r>
          </w:p>
        </w:tc>
      </w:tr>
      <w:tr>
        <w:trPr>
          <w:trHeight w:val="203"/>
        </w:trPr>
        <w:tc>
          <w:tcPr>
            <w:tcW w:w="680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8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TO BE</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PURCHASED</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w w:val="98"/>
              </w:rPr>
              <w:t>PaineWebber Incorporated........................................</w:t>
            </w:r>
          </w:p>
        </w:tc>
        <w:tc>
          <w:tcPr>
            <w:tcW w:w="100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Oppenheimer &amp; Co., Inc. ........................................</w:t>
            </w:r>
          </w:p>
        </w:tc>
        <w:tc>
          <w:tcPr>
            <w:tcW w:w="10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Stifel, Nicolaus &amp; Company, Incorporated........................</w:t>
            </w:r>
          </w:p>
        </w:tc>
        <w:tc>
          <w:tcPr>
            <w:tcW w:w="10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EVEREN Securities, Inc..........................................</w:t>
            </w:r>
          </w:p>
        </w:tc>
        <w:tc>
          <w:tcPr>
            <w:tcW w:w="10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Total.........................................................</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2,500,000</w:t>
            </w:r>
          </w:p>
        </w:tc>
      </w:tr>
      <w:tr>
        <w:trPr>
          <w:trHeight w:val="203"/>
        </w:trPr>
        <w:tc>
          <w:tcPr>
            <w:tcW w:w="68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the Underwriting Agreement, the Underwriters have severally agreed, subject to the terms and conditions set forth therein, to purchase all of the shares of Common Stock being sold pursuant to the Underwriting Agreement (other than those covered by the over-allotment option described below), if any shares of Common Stock are purchased. In the event of a default by any Underwriter, the Underwriting Agreement provides that, in certain circumstances, the purchase commitments of the nondefaulting Underwriters may be increased or the Underwriting Agreement may be terminated.</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been advised by the Representatives that the Underwriters propose to offer the shares in part to the public at the public offering price set forth on the cover page of this Prospectus, and in part to certain securities dealers (who may include Underwriters) at such price less a</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concession not in excess of $ per share, and that the Underwriters and such dealers may reallow to certain dealers a discount not in excess of $ per share. After commencement of the public offering, the public offering price, concessions to selected dealers and the discount to other dealers may be changed by the Representatives.</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granted an option to the Underwriters, exercisable during the 45-day period after the date of this Prospectus, to purchase, at the Offering Price less the underwriting discount and commissions set forth on the cover page of this Prospectus, 375,000 additional shares of Common Stock. The Underwriters may exercise such option only to cover over-allotments, if any, made in connection with the offering of the shares of Common Stock offered hereby. To the extent the Underwriters exercise such option, each of the Underwriters will become obligated, subject to certain conditions, to purchase approximately the same percentage of such option shares as it was obligated to purchase pursuant to the Underwriting Agreement.</w:t>
      </w:r>
    </w:p>
    <w:p>
      <w:pPr>
        <w:spacing w:after="0" w:line="386"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Company has agreed to indemnify the Underwriters against certain liabilities, including liabilities under the Federal securities laws, or to contribute to payments which the Underwriters may be required to make in respect thereof.</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ICII, SPTL and certain stockholders have also agreed with the Underwriters that, for a period of 120 days following the commencement of this Offering, they will not offer, sell, contract to sell or otherwise dispose of any shares of Common Stock or rights to acquire such shares (other than pursuant to employee plans or the DRP) without the prior written consent of PaineWebber Incorporated.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717" w:right="1440" w:bottom="767" w:gutter="0" w:footer="0" w:header="0"/>
        </w:sectPr>
      </w:pPr>
    </w:p>
    <w:bookmarkStart w:id="102" w:name="page103"/>
    <w:bookmarkEnd w:id="102"/>
    <w:p>
      <w:pPr>
        <w:ind w:right="1999" w:firstLine="211"/>
        <w:spacing w:after="0" w:line="273" w:lineRule="auto"/>
        <w:rPr>
          <w:sz w:val="20"/>
          <w:szCs w:val="20"/>
          <w:color w:val="auto"/>
        </w:rPr>
      </w:pPr>
      <w:r>
        <w:rPr>
          <w:rFonts w:ascii="Courier New" w:cs="Courier New" w:eastAsia="Courier New" w:hAnsi="Courier New"/>
          <w:sz w:val="16"/>
          <w:szCs w:val="16"/>
          <w:color w:val="auto"/>
        </w:rPr>
        <w:t>Certain of the Underwriters, including the Representatives, have in the past performed, and may continue to perform investment banking, services for the Company and have received customary compensation therefor. In addition, an affiliate of PaineWebber Incorporated has, in the ordinary course of business, extended to the Company a secured warehouse and repurchase credit facility.</w:t>
      </w:r>
    </w:p>
    <w:p>
      <w:pPr>
        <w:spacing w:after="0" w:line="1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validity of the Common Stock offered hereby will be passed on for the Company by Freshman, Marantz, Orlanski, Cooper &amp; Klein, Beverly Hills, California, certain legal matters, including certain tax matters, will be passed on for the Company by Latham &amp; Watkins, Irvine, California, and certain legal matters with respect to Maryland law will be passed on for the Company by Ballard Spahr Andrews &amp; Ingersoll, Baltimore, Maryland. Certain legal matters will be passed on for the Underwriters by Paul, Weiss, Rifkind, Wharton &amp; Garrison, New York, New York.</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financial statements of Imperial Credit Mortgage Holdings, Inc. and ICI Funding Corporation as of December 31, 1995 and 1994, and for each of the years in the three-year period ended December 31, 1995, have been included herein in reliance upon the report of KPMG Peat Marwick LLP, independent certified public accountants, appearing elsewhere herein, and upon the authority of said firm as experts in accounting and auditing. The report of KPMG Peat Marwick LLP covering the December 31, 1995 financial statements contains an explanatory paragraph that states the Company adopted the provisions of Statement of Financial Accounting Standards No. 122, "Accounting for Mortgage Servicing Rights" for the year ended December 31, 1995.</w:t>
      </w:r>
    </w:p>
    <w:p>
      <w:pPr>
        <w:spacing w:after="0" w:line="38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Copies of the Registration Statement of which this Prospectus forms a part and the exhibits thereto are on file at the offices of the Commission in Washington, D.C. and may be obtained at rates prescribed by the Commission upon request to the Commission and inspected, without charge, at the offices of the Commission. The Company is subject to the informational requirements of the Exchange Act, and in accordance therewith, periodically files reports and other information with the Commission. Such reports and other information can be inspected and copied at the public reference facilities maintained by the Commission at 450 Fifth Street, N.W, Washington, D.C. 20549, and at the Commission's regional offices at Northwestern Atrium Center, 500 West Madison Street (Suite 1400), Chicago, Illinois 60661 and 7 World Trade Center, New York, New York 10048. Copies of such material can also be obtained from the Commission at prescribed rates through its Public Reference Section at 450 Fifth Street, N.W, Washington, D.C. 20549. Statements contained in this Prospectus as to the contents of any contract or other document referred to are not necessarily complete, and in each instance reference is made to the copy of such contract or other document filed as an exhibit to the Registration Statement, each such statement being qualified in all respects by such reference.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722" w:right="1440" w:bottom="1440" w:gutter="0" w:footer="0" w:header="0"/>
        </w:sectPr>
      </w:pPr>
    </w:p>
    <w:bookmarkStart w:id="103" w:name="page104"/>
    <w:bookmarkEnd w:id="103"/>
    <w:p>
      <w:pPr>
        <w:jc w:val="center"/>
        <w:ind w:right="1999"/>
        <w:spacing w:after="0"/>
        <w:rPr>
          <w:sz w:val="20"/>
          <w:szCs w:val="20"/>
          <w:color w:val="auto"/>
        </w:rPr>
      </w:pPr>
      <w:r>
        <w:rPr>
          <w:rFonts w:ascii="Courier New" w:cs="Courier New" w:eastAsia="Courier New" w:hAnsi="Courier New"/>
          <w:sz w:val="18"/>
          <w:szCs w:val="18"/>
          <w:color w:val="auto"/>
        </w:rPr>
        <w:t>GLOSSARY</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As used in this Prospectus, the capitalized and other terms listed below have the meanings indicated.</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"Affiliated Person" means of any entity: (1) any person directly or indirectly owning, controlling, or holding with the power to vote, five percent (5%) or more of the outstanding securities of such entity; (2) any person five percent (5%) or more of whose outstanding voting securities are directly or indirectly owned, controlled, or held with power to vote, by such entity; (3) any person directly or indirectly controlling, controlled by, or under common control with, such entity or (4) any officer, director or employee of such entity or any person set forth in (1), (2) or (3) above. Any person who owns beneficially, either directly or through one or more controlled companies, more than twenty-five percent (25%) of the voting securities of any entity shall be presumed to control such entity. Any person who does not so own more than twenty-five percent (25%) of the voting securities of any entity shall be presumed not to control such entity. A natural person shall be presumed not to be a controlled entity.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"Agency" means FNMA, FHLMC or GNMA.</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"Agency Certificates" means Pass-Through Certificates guaranteed by FNMA, FHLMC or GNMA.</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"AMEX" means American Stock Exchange,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"ARM" means a mortgage loan or any mortgage loan underlying a Mortgage Security that features adjustments of the underlying interest rate at predetermined times based on an agreed margin to an established index. An ARM is usually subject to periodic interest rate and/or payment caps and a lifetime interest rate cap.</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"Average Net Worth" means the arithmetic average of the sum of the gross proceeds from any sale of equity securities by the Company, before deducting any underwriting discounts and commissions and other expenses and costs relating to the offering, plus the Company's retained earnings (without taking into account any losses incurred in prior periods) computed by taking the daily average of such values during such period.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"Bankruptcy Code" means Title II, United States Code, as amended.</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"Charter" means the Articles of Incorporation of IMH and amendments thereto.</w:t>
      </w:r>
    </w:p>
    <w:p>
      <w:pPr>
        <w:spacing w:after="0" w:line="224" w:lineRule="exact"/>
        <w:rPr>
          <w:sz w:val="20"/>
          <w:szCs w:val="20"/>
          <w:color w:val="auto"/>
        </w:rPr>
      </w:pPr>
    </w:p>
    <w:p>
      <w:pPr>
        <w:ind w:right="2619" w:firstLine="211"/>
        <w:spacing w:after="0" w:line="279" w:lineRule="auto"/>
        <w:rPr>
          <w:sz w:val="20"/>
          <w:szCs w:val="20"/>
          <w:color w:val="auto"/>
        </w:rPr>
      </w:pPr>
      <w:r>
        <w:rPr>
          <w:rFonts w:ascii="Courier New" w:cs="Courier New" w:eastAsia="Courier New" w:hAnsi="Courier New"/>
          <w:sz w:val="16"/>
          <w:szCs w:val="16"/>
          <w:color w:val="auto"/>
        </w:rPr>
        <w:t>"CMO" means an adjustable or fixed-rate debt obligation (bond) that is collateralized by mortgage loans or mortgage certificates and issued by private institutions or issued or guaranteed by FNMA, FHLMC or GNMA.</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"CMT Index" means the one year constant maturity Treasury index.</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"Company" means IMH, ICIFC and IWLG as a combined entity unless the context requires otherwise.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"Conduit Operations" means ICIFC.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"Conforming loan" or "conforming mortgage loan" means a mortgage loan that complies with requirements for inclusion in credit support programs sponsored by FHLMC or FNMA which are secured by first or second mortgages or deeds of trust on single-family (one to four units) residences.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"DRP" means the Dividend Reinvestment Plan adopted by the Company.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"DRP Purchase Price" means (1) in the case of Common Stock purchased from the Company, 97% of the average of the daily high and low of the Common Stock, computed to three decimal places, as reported in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717" w:right="1440" w:bottom="1440" w:gutter="0" w:footer="0" w:header="0"/>
        </w:sectPr>
      </w:pPr>
    </w:p>
    <w:bookmarkStart w:id="104" w:name="page105"/>
    <w:bookmarkEnd w:id="104"/>
    <w:p>
      <w:pPr>
        <w:ind w:right="1999"/>
        <w:spacing w:after="0" w:line="237" w:lineRule="auto"/>
        <w:rPr>
          <w:sz w:val="20"/>
          <w:szCs w:val="20"/>
          <w:color w:val="auto"/>
        </w:rPr>
      </w:pPr>
      <w:r>
        <w:rPr>
          <w:rFonts w:ascii="Courier New" w:cs="Courier New" w:eastAsia="Courier New" w:hAnsi="Courier New"/>
          <w:sz w:val="18"/>
          <w:szCs w:val="18"/>
          <w:color w:val="auto"/>
        </w:rPr>
        <w:t>NYSE Composite Transactions in The Wall Street Journal for the three days that the Common Stock was traded on the NYSE immediately prior to the applicable dividend payment date, (2) in the case of Common Stock purchased on the open market, 97% of the weighted average, computed to three decimal places, of the purchase prices for the Common Stock purchased by the DRP administrator (as defined in the DRP).</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"11th District Cost of Funds" means the index made available monthly by the Federal Home Loan Bank Board of the cost of funds to members of the Federal Home Loan Bank 11th District.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"ERISA" means the Employee Retirement Income Security Act of 1974.</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"ERISA Plan" or "Plan" means a pension, profit-sharing, retirement or other employee benefit plan which is subject to ERISA.</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"5/25 mortgage loan" means a loan that adjusts on a one-time basis approximately five years following origination to an interest rate based upon a defined index plus a spread.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"FHA" means the United States Federal Housing Administration.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"FHLMC" means the Federal Home Loan Mortgage Corporation.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"FMAC" means Franchise Mortgage Acceptance Company LLC.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"FNMA" means the Federal National Mortgage Association.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"GNMA" means Government National Mortgage Association.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"GAAP" means generally accepted accounting principles.</w:t>
      </w:r>
    </w:p>
    <w:p>
      <w:pPr>
        <w:spacing w:after="0" w:line="207"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"Gross Mortgage Assets" means for any month the weighted average aggregate book value of the Mortgage Assets, before reserves for depreciation or bad debts or other similar noncash reserves, computed at the end of such month.</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"HUD" means the Department of Housing and Urban Development.</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"IMH" means Imperial Credit Mortgage Holdings, Inc., a Maryland corporation.</w:t>
      </w:r>
    </w:p>
    <w:p>
      <w:pPr>
        <w:spacing w:after="0" w:line="224"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"ICIFC" means ICI Funding Corporation, a California corporation that conducts the Conduit Operations.</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"Investment Company Act" means the Investment Company Act of 1940, as amended.</w:t>
      </w:r>
    </w:p>
    <w:p>
      <w:pPr>
        <w:spacing w:after="0" w:line="208"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"ISOs" means qualified incentive stock options granted under the Stock Option Plan, which meet the requirements of Section 422 of the Code.</w:t>
      </w:r>
    </w:p>
    <w:p>
      <w:pPr>
        <w:spacing w:after="0" w:line="170" w:lineRule="exact"/>
        <w:rPr>
          <w:sz w:val="20"/>
          <w:szCs w:val="20"/>
          <w:color w:val="auto"/>
        </w:rPr>
      </w:pPr>
    </w:p>
    <w:p>
      <w:pPr>
        <w:ind w:right="2739" w:firstLine="211"/>
        <w:spacing w:after="0" w:line="290" w:lineRule="auto"/>
        <w:rPr>
          <w:sz w:val="20"/>
          <w:szCs w:val="20"/>
          <w:color w:val="auto"/>
        </w:rPr>
      </w:pPr>
      <w:r>
        <w:rPr>
          <w:rFonts w:ascii="Courier New" w:cs="Courier New" w:eastAsia="Courier New" w:hAnsi="Courier New"/>
          <w:sz w:val="16"/>
          <w:szCs w:val="16"/>
          <w:color w:val="auto"/>
        </w:rPr>
        <w:t>"IWLG" means Imperial Warehouse Lending Group, Inc., a California corporation that will be treated as a Qualified REIT Subsidiary of IMH.</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"Keogh Plans" means H.R. 10 Plans.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"LIBOR" means the London interbank offered rate.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Investment Operations" means IMH.</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"LTV" or "loan-to-value ratio" means the percentage obtained by dividing the principal amount of a loan by the lower of the sales price or appraised value of the mortgaged property when the loan is originated.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723" w:right="1440" w:bottom="1440" w:gutter="0" w:footer="0" w:header="0"/>
        </w:sectPr>
      </w:pPr>
    </w:p>
    <w:bookmarkStart w:id="105" w:name="page106"/>
    <w:bookmarkEnd w:id="105"/>
    <w:p>
      <w:pPr>
        <w:ind w:right="2099" w:firstLine="211"/>
        <w:spacing w:after="0" w:line="237" w:lineRule="auto"/>
        <w:rPr>
          <w:sz w:val="20"/>
          <w:szCs w:val="20"/>
          <w:color w:val="auto"/>
        </w:rPr>
      </w:pPr>
      <w:r>
        <w:rPr>
          <w:rFonts w:ascii="Courier New" w:cs="Courier New" w:eastAsia="Courier New" w:hAnsi="Courier New"/>
          <w:sz w:val="18"/>
          <w:szCs w:val="18"/>
          <w:color w:val="auto"/>
        </w:rPr>
        <w:t>"Master Commitments" means commitments issued by the Company which will obligate the Company to purchase Mortgage Assets from the holders of the commitment for a specified period of time, in a specified aggregate principal amount and at a specified price.</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"MGCL" means the Maryland General Corporation Law, as amended from time to time.</w:t>
      </w:r>
    </w:p>
    <w:p>
      <w:pPr>
        <w:spacing w:after="0" w:line="208"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"Mortgage Assets" means (1) mortgage loans, (2) mortgage-backed securities and (3) other mortgage interests, which constitute Real Estate Assets.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"MSRs" means mortgage servicing rights.</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"mortgage loans" means both conforming mortgage loans and non-conforming mortgage loans.</w:t>
      </w:r>
    </w:p>
    <w:p>
      <w:pPr>
        <w:spacing w:after="0" w:line="208"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"mortgage-backed securities" means (1) pass-through certificates, (2) CMOs and (3) REMICs.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"Net Income" means the net income of the Company determined in accordance with GAAP before the Manager's incentive compensation, the deduction for dividends paid, and any net operating loss deductions arising from losses in prior periods. The Company's interest expenses for borrowed money shall be deducted in calculating Net Income.</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"non-conforming loan" or "non-conforming mortgage loan" means a mortgage loan that does not qualify for purchase by government-sponsored entities such as FNMA and FHLMC.</w:t>
      </w:r>
    </w:p>
    <w:p>
      <w:pPr>
        <w:spacing w:after="0" w:line="209"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"Ownership Limit" means 9.5% (in value or in number of shares, whichever is more restrictive) of the aggregate of the outstanding shares of Common Stock, as may be increased or reduced by the Board of Directors of the Company.</w:t>
      </w:r>
    </w:p>
    <w:p>
      <w:pPr>
        <w:spacing w:after="0" w:line="178"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"Pass-Through Certificates" means securities (or interests therein) which are Qualified REIT Assets evidencing undivided ownership interests in a pool of mortgage loans, the holders of which receive a "pass-through" of the principal and interest paid in connection with the underlying mortgage loans in accordance with the holders' respective, undivided interests in the pool. Pass-Through Certificates evidence interests in loans secured by single family, but not multifamily or commercial, real estate properties.</w:t>
      </w:r>
    </w:p>
    <w:p>
      <w:pPr>
        <w:spacing w:after="0" w:line="188"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"Privately-Issued Certificates" means privately-issued Pass-Through Certificates issued by the Company or an affiliate of the Company or other non-Agency third party issuer.</w:t>
      </w:r>
    </w:p>
    <w:p>
      <w:pPr>
        <w:spacing w:after="0" w:line="209"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"Qualified Hedge" means a bona fide interest rate swap or cap agreement entered into by IMH to hedge variable rate indebtedness only, that IMH incurred or expects to incur to acquire or carry Qualified REIT Assets, as defined in Section 856(c)(6)(G) of the Code.</w:t>
      </w:r>
    </w:p>
    <w:p>
      <w:pPr>
        <w:spacing w:after="0" w:line="207"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"Qualified REIT Assets" means Pass-Through Certificates, Mortgage Loans, Agency Certificates and other assets of the type described in Code Section 856(c)(6)(B).</w:t>
      </w:r>
    </w:p>
    <w:p>
      <w:pPr>
        <w:spacing w:after="0" w:line="209"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"Qualified REIT Subsidiary" means a corporation whose stock is entirely owned by the REIT at all times during such corporation's existence.</w:t>
      </w:r>
    </w:p>
    <w:p>
      <w:pPr>
        <w:spacing w:after="0" w:line="17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"Qualifying Interests" means "mortgages and other liens on and interests in real estate," as defined in Section 3(c)(5)(C) under the Investment Company Act.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"Real Estate Asset" means interests in real property, interests in mortgages on real property, and regular interests in REMICS.</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"REIT" means Real Estate Investment Trust as defined under Section 856 of the Code.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722" w:right="1440" w:bottom="1440" w:gutter="0" w:footer="0" w:header="0"/>
        </w:sectPr>
      </w:pPr>
    </w:p>
    <w:bookmarkStart w:id="106" w:name="page107"/>
    <w:bookmarkEnd w:id="106"/>
    <w:p>
      <w:pPr>
        <w:jc w:val="both"/>
        <w:ind w:right="2839" w:firstLine="211"/>
        <w:spacing w:after="0" w:line="275" w:lineRule="auto"/>
        <w:rPr>
          <w:sz w:val="20"/>
          <w:szCs w:val="20"/>
          <w:color w:val="auto"/>
        </w:rPr>
      </w:pPr>
      <w:r>
        <w:rPr>
          <w:rFonts w:ascii="Courier New" w:cs="Courier New" w:eastAsia="Courier New" w:hAnsi="Courier New"/>
          <w:sz w:val="16"/>
          <w:szCs w:val="16"/>
          <w:color w:val="auto"/>
        </w:rPr>
        <w:t>"REMIC" means serially maturing debt securities secured by a pool of mortgage loans, the payments on which bear a relationship to the debt securities and the issuer of which qualifies as a Real Estate Mortgage Investment Conduit as defined under Section 860D of the Code.</w:t>
      </w:r>
    </w:p>
    <w:p>
      <w:pPr>
        <w:spacing w:after="0" w:line="182"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"reverse repurchase agreement" means a borrowing device by an agreement to sell securities or other assets to a third party and a simultaneous agreement to repurchase them at a specified future date and price, the price difference constituting the interest on the borrowing.</w:t>
      </w:r>
    </w:p>
    <w:p>
      <w:pPr>
        <w:spacing w:after="0" w:line="207" w:lineRule="exact"/>
        <w:rPr>
          <w:sz w:val="20"/>
          <w:szCs w:val="20"/>
          <w:color w:val="auto"/>
        </w:rPr>
      </w:pPr>
    </w:p>
    <w:p>
      <w:pPr>
        <w:jc w:val="center"/>
        <w:ind w:right="1999"/>
        <w:spacing w:after="0" w:line="290" w:lineRule="auto"/>
        <w:rPr>
          <w:sz w:val="20"/>
          <w:szCs w:val="20"/>
          <w:color w:val="auto"/>
        </w:rPr>
      </w:pPr>
      <w:r>
        <w:rPr>
          <w:rFonts w:ascii="Courier New" w:cs="Courier New" w:eastAsia="Courier New" w:hAnsi="Courier New"/>
          <w:sz w:val="16"/>
          <w:szCs w:val="16"/>
          <w:color w:val="auto"/>
        </w:rPr>
        <w:t>"Return on Equity" means return calculated for any quarter by dividing the Company's Net Income for the quarter by its Average Net Worth for the quarter.</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 means the United States Internal Revenue Service.</w:t>
      </w:r>
    </w:p>
    <w:p>
      <w:pPr>
        <w:spacing w:after="0" w:line="207"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"SPTL" means Southern Pacific Thrift and Loans Association, a state chartered industrial loan law.</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"Tax-Exempt Entity" means a qualified pension, profit-sharing or other employee retirement benefit plan, Keogh Plan, bank commingled trust fund for such plans, an IRA or other similar entity intended to be exempt from Federal income taxation.</w:t>
      </w:r>
    </w:p>
    <w:p>
      <w:pPr>
        <w:spacing w:after="0" w:line="207"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"Ten Year U.S. Treasury Rate" means the average of the weekly average yield to maturity for U.S. Treasury securities (adjusted to a constant maturity of 10 years) as published weekly by the Federal Reserve Board during a quarter.</w:t>
      </w:r>
    </w:p>
    <w:p>
      <w:pPr>
        <w:spacing w:after="0" w:line="178"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"25% entity" means any entity of which ICII owns 25% or more of the voting securities.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"25% Incentive Payment" means incentive compensation for each fiscal quarter, in an amount equal to 25% of the Net Income of the Company, before deduction of such incentive compensation, in excess of the amount that would produce an annualized Return on Equity equal to the Ten Year U.S. Treasury Rate plus 2%.</w:t>
      </w:r>
    </w:p>
    <w:p>
      <w:pPr>
        <w:spacing w:after="0" w:line="209"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"UBTI" means "unrelated trade or business taxable income" as defined in Section 512 of the Code.</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"Unaffiliated Director" means a Director who is independent of the Company, any manager of the Company (including ICAI) and ICII and its Affiliated Persons.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 means the United States Department of Veterans Affairs.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"Warehouse Lending Operations" means IWLG.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723" w:right="1440" w:bottom="1440" w:gutter="0" w:footer="0" w:header="0"/>
        </w:sectPr>
      </w:pPr>
    </w:p>
    <w:bookmarkStart w:id="107" w:name="page108"/>
    <w:bookmarkEnd w:id="107"/>
    <w:p>
      <w:pPr>
        <w:ind w:left="2520"/>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ind w:left="1260"/>
              <w:spacing w:after="0"/>
              <w:rPr>
                <w:sz w:val="20"/>
                <w:szCs w:val="20"/>
                <w:color w:val="auto"/>
              </w:rPr>
            </w:pPr>
            <w:r>
              <w:rPr>
                <w:rFonts w:ascii="Courier New" w:cs="Courier New" w:eastAsia="Courier New" w:hAnsi="Courier New"/>
                <w:sz w:val="18"/>
                <w:szCs w:val="18"/>
                <w:color w:val="auto"/>
              </w:rPr>
              <w:t>IMPERIAL CREDIT MORTGAGE HOLDINGS, INC. AND SUBSIDIARY</w:t>
            </w:r>
          </w:p>
        </w:tc>
        <w:tc>
          <w:tcPr>
            <w:tcW w:w="420" w:type="dxa"/>
            <w:vAlign w:val="bottom"/>
          </w:tcPr>
          <w:p>
            <w:pPr>
              <w:spacing w:after="0"/>
              <w:rPr>
                <w:sz w:val="17"/>
                <w:szCs w:val="17"/>
                <w:color w:val="auto"/>
              </w:rPr>
            </w:pPr>
          </w:p>
        </w:tc>
      </w:tr>
      <w:tr>
        <w:trPr>
          <w:trHeight w:val="810"/>
        </w:trPr>
        <w:tc>
          <w:tcPr>
            <w:tcW w:w="7900" w:type="dxa"/>
            <w:vAlign w:val="bottom"/>
          </w:tcPr>
          <w:p>
            <w:pPr>
              <w:spacing w:after="0"/>
              <w:rPr>
                <w:sz w:val="20"/>
                <w:szCs w:val="20"/>
                <w:color w:val="auto"/>
              </w:rPr>
            </w:pPr>
            <w:r>
              <w:rPr>
                <w:rFonts w:ascii="Courier New" w:cs="Courier New" w:eastAsia="Courier New" w:hAnsi="Courier New"/>
                <w:sz w:val="18"/>
                <w:szCs w:val="18"/>
                <w:color w:val="auto"/>
                <w:w w:val="97"/>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F-2</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 Balance Sheets................................................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 Statements of Changes in Stockholders' Equity.................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 Statements of Cash Flows......................................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F-6</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Notes to Consolidated Financial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F-7</w:t>
            </w:r>
          </w:p>
        </w:tc>
      </w:tr>
      <w:tr>
        <w:trPr>
          <w:trHeight w:val="608"/>
        </w:trPr>
        <w:tc>
          <w:tcPr>
            <w:tcW w:w="7900" w:type="dxa"/>
            <w:vAlign w:val="bottom"/>
          </w:tcPr>
          <w:p>
            <w:pPr>
              <w:ind w:left="2840"/>
              <w:spacing w:after="0"/>
              <w:rPr>
                <w:sz w:val="20"/>
                <w:szCs w:val="20"/>
                <w:color w:val="auto"/>
              </w:rPr>
            </w:pPr>
            <w:r>
              <w:rPr>
                <w:rFonts w:ascii="Courier New" w:cs="Courier New" w:eastAsia="Courier New" w:hAnsi="Courier New"/>
                <w:sz w:val="18"/>
                <w:szCs w:val="18"/>
                <w:color w:val="auto"/>
              </w:rPr>
              <w:t>ICI FUNDING CORPORATION</w:t>
            </w:r>
          </w:p>
        </w:tc>
        <w:tc>
          <w:tcPr>
            <w:tcW w:w="420" w:type="dxa"/>
            <w:vAlign w:val="bottom"/>
          </w:tcPr>
          <w:p>
            <w:pPr>
              <w:spacing w:after="0"/>
              <w:rPr>
                <w:sz w:val="24"/>
                <w:szCs w:val="24"/>
                <w:color w:val="auto"/>
              </w:rPr>
            </w:pPr>
          </w:p>
        </w:tc>
      </w:tr>
      <w:tr>
        <w:trPr>
          <w:trHeight w:val="810"/>
        </w:trPr>
        <w:tc>
          <w:tcPr>
            <w:tcW w:w="7900" w:type="dxa"/>
            <w:vAlign w:val="bottom"/>
          </w:tcPr>
          <w:p>
            <w:pPr>
              <w:spacing w:after="0"/>
              <w:rPr>
                <w:sz w:val="20"/>
                <w:szCs w:val="20"/>
                <w:color w:val="auto"/>
              </w:rPr>
            </w:pPr>
            <w:r>
              <w:rPr>
                <w:rFonts w:ascii="Courier New" w:cs="Courier New" w:eastAsia="Courier New" w:hAnsi="Courier New"/>
                <w:sz w:val="18"/>
                <w:szCs w:val="18"/>
                <w:color w:val="auto"/>
                <w:w w:val="98"/>
              </w:rPr>
              <w:t>Independent Auditors' Report..............................................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F-26</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Balance Sheets............................................................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F-27</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Statements of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F-28</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Statements of Changes in Shareholders' Equity.............................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F-29</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Statements of Cash Flows..................................................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F-30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Notes to Financial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F-31</w:t>
            </w:r>
          </w:p>
        </w:tc>
      </w:tr>
      <w:tr>
        <w:trPr>
          <w:trHeight w:val="608"/>
        </w:trPr>
        <w:tc>
          <w:tcPr>
            <w:tcW w:w="7900" w:type="dxa"/>
            <w:vAlign w:val="bottom"/>
          </w:tcPr>
          <w:p>
            <w:pPr>
              <w:ind w:left="3900"/>
              <w:spacing w:after="0"/>
              <w:rPr>
                <w:sz w:val="20"/>
                <w:szCs w:val="20"/>
                <w:color w:val="auto"/>
              </w:rPr>
            </w:pPr>
            <w:r>
              <w:rPr>
                <w:rFonts w:ascii="Courier New" w:cs="Courier New" w:eastAsia="Courier New" w:hAnsi="Courier New"/>
                <w:sz w:val="18"/>
                <w:szCs w:val="18"/>
                <w:color w:val="auto"/>
              </w:rPr>
              <w:t>F-1</w:t>
            </w:r>
          </w:p>
        </w:tc>
        <w:tc>
          <w:tcPr>
            <w:tcW w:w="420" w:type="dxa"/>
            <w:vAlign w:val="bottom"/>
          </w:tcPr>
          <w:p>
            <w:pPr>
              <w:spacing w:after="0"/>
              <w:rPr>
                <w:sz w:val="24"/>
                <w:szCs w:val="24"/>
                <w:color w:val="auto"/>
              </w:rPr>
            </w:pPr>
          </w:p>
        </w:tc>
      </w:tr>
    </w:tbl>
    <w:p>
      <w:pPr>
        <w:sectPr>
          <w:pgSz w:w="11900" w:h="16838" w:orient="portrait"/>
          <w:cols w:equalWidth="0" w:num="1">
            <w:col w:w="10099"/>
          </w:cols>
          <w:pgMar w:left="360" w:top="717" w:right="1440" w:bottom="1440" w:gutter="0" w:footer="0" w:header="0"/>
        </w:sectPr>
      </w:pPr>
    </w:p>
    <w:bookmarkStart w:id="108" w:name="page109"/>
    <w:bookmarkEnd w:id="108"/>
    <w:p>
      <w:pPr>
        <w:ind w:left="26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Imperial Credit Mortgage Holdings, Inc.:</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Imperial Credit Mortgage Holdings, Inc. and subsidiary as of December 31, 1995 and 1994, and the related consolidated statements of operations, changes in stockholders' equity and cash flows for each of the years in the three-year period ended December 31, 1995. These consolidated financial statements are the responsibility of the Company's management. Our responsibility is to express an opinion on these consolidated financial statements based on our audits.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consolidated financial position of Imperial Credit Mortgage Holdings, Inc. and subsidiary as of December 31, 1995 and 1994, and the results of their operations and their cash flows for each of the years in the three-year period ended December 31, 1995 in conformity with generally accepted accounting principles.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discussed in note 1 to the consolidated financial statements, the Company adopted the provisions of Statement of Financial Accounting Standards No. 122, "Accounting for Mortgage Servicing Rights" for the year ended December 31, 1995.</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KMPG Peat Marwick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38" w:lineRule="auto"/>
        <w:rPr>
          <w:sz w:val="20"/>
          <w:szCs w:val="20"/>
          <w:color w:val="auto"/>
        </w:rPr>
      </w:pPr>
      <w:r>
        <w:rPr>
          <w:rFonts w:ascii="Courier New" w:cs="Courier New" w:eastAsia="Courier New" w:hAnsi="Courier New"/>
          <w:sz w:val="18"/>
          <w:szCs w:val="18"/>
          <w:color w:val="auto"/>
        </w:rPr>
        <w:t>January 25, 1996</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6"/>
          <w:szCs w:val="16"/>
          <w:color w:val="auto"/>
        </w:rPr>
        <w:t>IMPERIAL CREDIT MORTGAGE HOLDINGS, INC. AND SUBSIDIARY</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31,</w:t>
            </w: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$ 17,067,858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2,284,482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available-for-sale.......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33,242,883</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17,378,238</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loans held for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311,460,948</w:t>
            </w:r>
          </w:p>
        </w:tc>
        <w:tc>
          <w:tcPr>
            <w:tcW w:w="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receivables, net..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196,065,560</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582,921,113</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3,024,440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 payment receivables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held for sale............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7,805,691</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8,440,644</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interest receiv-</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able.....................</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5,610,768</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1,645,414</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affiliates.......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1,390,488</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113,089</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ICI Funding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9,535,887</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865,839</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6,335,058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39,512</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$582,180,083</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$613,688,331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$9,364,634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LIABILITIES AND STOCKHOLDERS'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EQUITY</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Due to affiliates.........</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6,040,036</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Reverse-repurchase agree-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ments....................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528,745,568</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567,727,361</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 from SPTL......</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2,511,379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778,903</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725,146</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535,564,507</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568,452,507</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2,511,379</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cies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$0.1 par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10 million shares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outstanding at March</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 1996 (unaudited)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December 31, 1995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$.01 par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million shares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4,250,000</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at March 31,</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 (unaudited) and at</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1995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 issued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at</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tal.....................</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44,970,544</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44,970,544</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357,558</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(66,550)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(92,663)</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1,669,082</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315,443</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6,495,697</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uity...................</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46,615,576</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45,235,824</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6,853,255</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$582,180,083</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$613,688,331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$9,364,634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0219"/>
          </w:cols>
          <w:pgMar w:left="240" w:top="722"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9159"/>
          </w:cols>
          <w:pgMar w:left="1300" w:top="547" w:right="1440" w:bottom="1440" w:gutter="0" w:footer="0" w:header="0"/>
        </w:sectPr>
      </w:pPr>
    </w:p>
    <w:p>
      <w:pPr>
        <w:spacing w:after="0" w:line="22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9159"/>
          </w:cols>
          <w:pgMar w:left="1300" w:top="547" w:right="1440" w:bottom="1440" w:gutter="0" w:footer="0" w:header="0"/>
          <w:type w:val="continuous"/>
        </w:sectPr>
      </w:pPr>
    </w:p>
    <w:bookmarkStart w:id="111" w:name="page112"/>
    <w:bookmarkEnd w:id="111"/>
    <w:p>
      <w:pPr>
        <w:ind w:left="13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FOR THE THREE MONTHS</w:t>
            </w:r>
          </w:p>
        </w:tc>
        <w:tc>
          <w:tcPr>
            <w:tcW w:w="160" w:type="dxa"/>
            <w:vAlign w:val="bottom"/>
          </w:tcPr>
          <w:p>
            <w:pPr>
              <w:spacing w:after="0"/>
              <w:rPr>
                <w:sz w:val="17"/>
                <w:szCs w:val="17"/>
                <w:color w:val="auto"/>
              </w:rPr>
            </w:pPr>
          </w:p>
        </w:tc>
        <w:tc>
          <w:tcPr>
            <w:tcW w:w="32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6"/>
              </w:rPr>
              <w:t>FOR THE YEAR ENDED DECEMBER</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ENDED MARCH 31,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w:t>
            </w:r>
          </w:p>
        </w:tc>
        <w:tc>
          <w:tcPr>
            <w:tcW w:w="12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1"/>
              </w:rPr>
              <w:t>--------------------</w:t>
            </w:r>
          </w:p>
        </w:tc>
        <w:tc>
          <w:tcPr>
            <w:tcW w:w="940" w:type="dxa"/>
            <w:vAlign w:val="bottom"/>
          </w:tcPr>
          <w:p>
            <w:pPr>
              <w:spacing w:after="0"/>
              <w:rPr>
                <w:sz w:val="17"/>
                <w:szCs w:val="17"/>
                <w:color w:val="auto"/>
              </w:rPr>
            </w:pPr>
          </w:p>
        </w:tc>
        <w:tc>
          <w:tcPr>
            <w:tcW w:w="34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$13,009,977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$ 85,660</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$2,851,216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$292,665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766,875</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net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ICI Funding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Corporation..........</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542,149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403,747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1,489,276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531,688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4,191,701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Fee income............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172,096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30,766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243,155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82,742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320,173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13,724,222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520,173</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4,583,647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907,095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5,278,749</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on borrowings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reverse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repurchase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agreements...........</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9,009,167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1,116,287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on borrowings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from SPTL............</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47,698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598,421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126,524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334,220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losses...............</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104,152</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487,505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95,374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Advisory fee..........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426,222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37,888</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trative expense......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88,469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40,113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32,517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32,700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Professional services.</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54,336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14,460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17,590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Personnel expense.....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18,455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90,737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143,308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110,269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Telephone and other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communications.......</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3,023</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11,112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11,039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Occupancy expense.....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19,611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24,504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Data processing ex-</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12,030,583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184,488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2,449,423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447,062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531,332</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1,693,639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335,685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2,134,224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460,033</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4,747,417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 benefit..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28,586</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(233,401)</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$ 1,693,639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$364,271</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$2,058,375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$490,128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$4,514,016</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Net income per share..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112" w:name="page113"/>
    <w:bookmarkEnd w:id="112"/>
    <w:p>
      <w:pPr>
        <w:jc w:val="center"/>
        <w:ind w:right="284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ADDITIONAL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SECURITIES</w:t>
            </w:r>
          </w:p>
        </w:tc>
        <w:tc>
          <w:tcPr>
            <w:tcW w:w="1380" w:type="dxa"/>
            <w:vAlign w:val="bottom"/>
          </w:tcPr>
          <w:p>
            <w:pPr>
              <w:spacing w:after="0"/>
              <w:rPr>
                <w:sz w:val="17"/>
                <w:szCs w:val="17"/>
                <w:color w:val="auto"/>
              </w:rPr>
            </w:pP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PAID-IN</w:t>
            </w:r>
          </w:p>
        </w:tc>
        <w:tc>
          <w:tcPr>
            <w:tcW w:w="242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CONTRIBUTED VALUATION</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RETAINED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STOCKHOLDERS'</w:t>
            </w:r>
          </w:p>
        </w:tc>
      </w:tr>
      <w:tr>
        <w:trPr>
          <w:trHeight w:val="203"/>
        </w:trPr>
        <w:tc>
          <w:tcPr>
            <w:tcW w:w="2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CAPITAL</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CAPITAL</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ALLOWANCE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EARNINGS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26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060" w:type="dxa"/>
            <w:vAlign w:val="bottom"/>
            <w:gridSpan w:val="7"/>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 ---------- -----------</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December 31,</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$ 1,491,553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$ 1,491,553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1993........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4,514,016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4,514,016</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6,005,569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6,005,569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contribution....</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357,558</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357,558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1994........</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490,128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490,128</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357,558</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6,495,697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6,853,255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Transac-</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tion...................</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514,750</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(357,558)</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(8,238,629)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(8,076,437)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from ini-</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tial public offering...</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44,455,794</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44,493,294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1995........</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2,058,375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2,058,375</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Securities valuation al-</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lowance, net...........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(92,663)</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(92,663)</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44,970,544</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(92,663)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315,443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45,235,824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Dividends paid ($.08 per</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 (unaudited).....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(340,000)</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three months</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ended March 31, 1996</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1,693,639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1,693,639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securities</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26,113</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26,113</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March 31, 1996</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44,970,544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$(66,550)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$ 1,669,082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$46,615,576</w:t>
            </w:r>
          </w:p>
        </w:tc>
      </w:tr>
      <w:tr>
        <w:trPr>
          <w:trHeight w:val="203"/>
        </w:trPr>
        <w:tc>
          <w:tcPr>
            <w:tcW w:w="26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1280"/>
          </w:cols>
          <w:pgMar w:left="240" w:top="717" w:right="379" w:bottom="1440" w:gutter="0" w:footer="0" w:header="0"/>
        </w:sectPr>
      </w:pPr>
    </w:p>
    <w:bookmarkStart w:id="113" w:name="page114"/>
    <w:bookmarkEnd w:id="113"/>
    <w:p>
      <w:pPr>
        <w:ind w:left="126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FOR THE THREE MONTHS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rPr>
              <w:t>ENDED MARCH 31,</w:t>
            </w:r>
          </w:p>
        </w:tc>
        <w:tc>
          <w:tcPr>
            <w:tcW w:w="160" w:type="dxa"/>
            <w:vAlign w:val="bottom"/>
          </w:tcPr>
          <w:p>
            <w:pPr>
              <w:spacing w:after="0"/>
              <w:rPr>
                <w:sz w:val="17"/>
                <w:szCs w:val="17"/>
                <w:color w:val="auto"/>
              </w:rPr>
            </w:pPr>
          </w:p>
        </w:tc>
        <w:tc>
          <w:tcPr>
            <w:tcW w:w="410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268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3"/>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Cash flows from operat-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ing activities: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1,693,639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364,271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2,058,375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490,128</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$ 4,514,016</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Adjustments to</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reconcile net income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net cash provided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by (used in) operating</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in net income of</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ICI Funding</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(542,149)</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(403,747)</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(1,489,276)</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(531,688)</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(4,191,701)</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losses................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2,415,000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104,152</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487,505</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95,374</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change in accrued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interest on loans.....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(3,965,354)</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(3,008)</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(1,701,133)</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(9,701)</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change in other</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assets and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4,855,906</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572,545</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(used in) operating</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4,457,042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61,668</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(71,984)</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312,614</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ing activities: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 of mortgage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loans held for</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investment, net.......</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(313,750,948)</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finance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386,730,553</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(3,179,559)</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(602,737,414)</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5,015,658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886,512</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Purchases of investment</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available-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for-sale..............</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(15,838,531)</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(17,470,901)</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decrease (increase)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lease payment</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634,953</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(8,440,644)</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Contributions to ICIFC.</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(8,127,900)</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(495,000)</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(used in) investing</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49,648,127</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(3,179,559)</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(629,143,959)</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5,015,658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886,512</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ing activities: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Proceeds from initial</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public offering, net..</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44,493,294</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change in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borrowings from SPTL..</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3,117,891</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19,279,770</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(5,074,037)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(1,199,126)</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change in reverse-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repurchase agreements.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(38,981,793)</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567,727,361</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Dividends paid.........</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(340,000)</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(used in) financing</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(39,321,793)</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3,117,891</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631,500,425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(5,074,037)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(1,199,126)</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14,783,376</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2,284,482</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 at</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2,284,482</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equivalents at end of</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period.................</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17,067,858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2,284,482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099"/>
          </w:cols>
          <w:pgMar w:left="360" w:top="717" w:right="1440" w:bottom="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3060" w:type="dxa"/>
            <w:vAlign w:val="bottom"/>
            <w:gridSpan w:val="4"/>
          </w:tcPr>
          <w:p>
            <w:pPr>
              <w:jc w:val="right"/>
              <w:ind w:right="72"/>
              <w:spacing w:after="0"/>
              <w:rPr>
                <w:sz w:val="20"/>
                <w:szCs w:val="20"/>
                <w:color w:val="auto"/>
              </w:rPr>
            </w:pPr>
            <w:r>
              <w:rPr>
                <w:rFonts w:ascii="Courier New" w:cs="Courier New" w:eastAsia="Courier New" w:hAnsi="Courier New"/>
                <w:sz w:val="18"/>
                <w:szCs w:val="18"/>
                <w:color w:val="auto"/>
              </w:rPr>
              <w:t>=============  ===========</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informa-</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tion:</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Interest paid..........</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8,998,886</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47,698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1,714,708</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126,524</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334,220</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(refunded)............</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(32,941)</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(30,095)</w:t>
            </w:r>
          </w:p>
        </w:tc>
        <w:tc>
          <w:tcPr>
            <w:tcW w:w="3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233,401</w:t>
            </w:r>
          </w:p>
        </w:tc>
      </w:tr>
      <w:tr>
        <w:trPr>
          <w:trHeight w:val="203"/>
        </w:trPr>
        <w:tc>
          <w:tcPr>
            <w:tcW w:w="268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transactions: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Transaction</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on November 20, 1995:</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reverted to</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ICII and SPTL:</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Finance receivables....</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22,353,236</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in ICIFC....</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7,973,245</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Accrued interest</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60,855</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Borrowings from SPTL...</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21,791,149</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357,558</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8,238,629</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 by ICII of</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of the preferred</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of ICI Funding</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(representing a 99%</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economic interest)......</w:t>
            </w:r>
          </w:p>
        </w:tc>
        <w:tc>
          <w:tcPr>
            <w:tcW w:w="42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519,750</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losses on</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available-for-sale.....</w:t>
            </w:r>
          </w:p>
        </w:tc>
        <w:tc>
          <w:tcPr>
            <w:tcW w:w="4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26,113</w:t>
            </w:r>
          </w:p>
        </w:tc>
        <w:tc>
          <w:tcPr>
            <w:tcW w:w="36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(92,663)</w:t>
            </w:r>
          </w:p>
        </w:tc>
        <w:tc>
          <w:tcPr>
            <w:tcW w:w="32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099"/>
          </w:cols>
          <w:pgMar w:left="360" w:top="136" w:right="1440" w:bottom="1440" w:gutter="0" w:footer="0" w:header="0"/>
        </w:sectPr>
      </w:pPr>
    </w:p>
    <w:bookmarkStart w:id="115" w:name="page116"/>
    <w:bookmarkEnd w:id="115"/>
    <w:p>
      <w:pPr>
        <w:jc w:val="center"/>
        <w:ind w:right="1999"/>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THE THREE MONTHS ENDED MARCH 31, 1996 AND 1995 (UNAUDITED)</w:t>
      </w:r>
    </w:p>
    <w:p>
      <w:pPr>
        <w:ind w:left="1580"/>
        <w:spacing w:after="0" w:line="238" w:lineRule="auto"/>
        <w:rPr>
          <w:sz w:val="20"/>
          <w:szCs w:val="20"/>
          <w:color w:val="auto"/>
        </w:rPr>
      </w:pPr>
      <w:r>
        <w:rPr>
          <w:rFonts w:ascii="Courier New" w:cs="Courier New" w:eastAsia="Courier New" w:hAnsi="Courier New"/>
          <w:sz w:val="18"/>
          <w:szCs w:val="18"/>
          <w:color w:val="auto"/>
        </w:rPr>
        <w:t>AND THE THREE-YEAR PERIOD ENDED DECEMBER 31, 1995</w:t>
      </w:r>
    </w:p>
    <w:p>
      <w:pPr>
        <w:spacing w:after="0" w:line="207" w:lineRule="exact"/>
        <w:rPr>
          <w:sz w:val="20"/>
          <w:szCs w:val="20"/>
          <w:color w:val="auto"/>
        </w:rPr>
      </w:pPr>
    </w:p>
    <w:p>
      <w:pPr>
        <w:ind w:left="120" w:right="4099" w:hanging="112"/>
        <w:spacing w:after="0" w:line="470" w:lineRule="auto"/>
        <w:tabs>
          <w:tab w:leader="none" w:pos="33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BUSINESS AND SIGNIFICANT ACCOUNTING POLICIES BUSINESS</w:t>
      </w:r>
    </w:p>
    <w:p>
      <w:pPr>
        <w:spacing w:after="0" w:line="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Imperial Credit Mortgage Holdings, Inc. and subsidiary (IMH or the Company) is a Maryland corporation formed on August 28, 1995 that operates three businesses, two of which were formerly owned and operated by Imperial Credit Industries, Inc. (ICII), a leading diversified financial services company and mortgage bank. The Company intends to operate so as to qualify as a real estate investment trust (REIT) under the requirements of the Internal Revenue Code. The business objectives are discussed in the succeeding three paragraphs.</w:t>
      </w:r>
    </w:p>
    <w:p>
      <w:pPr>
        <w:spacing w:after="0" w:line="212"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Long-Term Investment Operations, a newly created business, invests primarily in non-conforming residential mortgage loans and mortgage-backed securities secured by or representing interests in such loans. The Long-Term Investment Operations also invest, to a lesser extent, in second mortgages.</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Conduit Operations, conducted in ICI Funding Corporation (ICIFC), primarily purchases non-conforming mortgage loans and, to a lesser extent, second mortgage loans from its network of third party correspondents and subsequently securitizes or sells such loans to permanent investors. ICIFC, in addition to its ongoing securitizations and sales to third party investors, supports the Long-Term Investment Operations of the Company by supplying IMH with non-conforming mortgage loans and securities backed by non-conforming mortgage loans at costs which the Company believes are lower than would be available through third parties.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Warehouse Lending Operations provides short-term lines of credit to ICIFC and other approved mortgage banks, most of which are correspondents of ICIFC, to finance mortgage loans during the time from the closing of the loans to their sale or other settlement with pre-approved investors.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CONTRIBUTION TRANSACTION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November 20, 1995, the effective date of IMH's initial public offering (Initial Public Offering), ICII contributed to ICIFC certain operating assets and certain customer lists of ICII's mortgage conduit operations, including all of ICII's mortgage conduit operations' commitments to purchase mortgage loans, subject to rate locks from correspondents, in exchange for shares representing 100% of the common stock and 100% of the non-voting preferred stock of ICIFC. Simultaneously, on the effective date of the Initial Public Offering, in exchange for 500,000 shares of IMH Common Stock, ICII (1) contributed to IMH all of the outstanding non-voting preferred stock of ICIFC, which represents 99% of the economic interest in ICIFC, (2) caused Southern Pacific Thrift and Loan Association (SPTL), a wholly owned subsidiary of ICII, to contribute to IMH certain operating assets and certain customer lists of SPTL's warehouse lending division, and (3) executed an agreement not to compete and a right of first refusal agreement, each having a term of two years from the effective date of the Initial Public Offering. This contribution is known as the "Contribution Transaction." All of the outstanding shares of common stock of ICIFC were retained by ICII. Lastly, IMH contributed all of the aforementioned operating assets of SPTL's warehouse lending operations contributed to it by SPTL to Imperial Warehouse Lending Group (IWLG) in exchange for shares representing 100% of the common stock of IWLG thereby forming it as a wholly owned subsidiary. On the effective date of the Initial Public Offering, the net tangible book value of the assets contributed pursuant to the Contribution Transaction was $525,000. The assets contributed were recorded by IMH at the net book value of SPTL and ICII. ICII and SPTL retained all other assets and liabilities related to the contributed operations which consist of mortgage servicing rights (MSRs), finance receivables and advances made by ICII and SPTL to fund mortgage conduit loan acquisitions and to fund finance receivables.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17" w:right="1440" w:bottom="970" w:gutter="0" w:footer="0" w:header="0"/>
        </w:sectPr>
      </w:pPr>
    </w:p>
    <w:bookmarkStart w:id="116" w:name="page117"/>
    <w:bookmarkEnd w:id="116"/>
    <w:p>
      <w:pPr>
        <w:ind w:left="13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BASIS OF FINANCIAL STATEMENT PRESENTATION</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Prior to the Contribution Transaction, the operations of IWLG are combined with the Company in a manner similar to a "pooling-of-interests" and the Company's investment in ICIFC is recorded using the equity method of accounting, with the accompanying consolidated financial statements and notes reflecting the historical operations of IWLG for those periods presented.</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historical operations of IWLG, formerly a division of SPTL, have been presented in the consolidated financial statements for the period January 1, 1995 to November 19, 1995 and for the years ended December 31, 1994 and 1993 as a stand-alone company. Certain adjustments, as described below, were made to historical operations in order to provide fair presentation of the financial operations of IWLG.</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have been prepared in conformity with generally accepted accounting principles and prevailing practices within the financial services industry. In preparing the consolidated financial statements, management is required to make estimates and assumptions that affect the reported amounts of assets and liabilities as of the date of the balance sheet and revenues and expenses for the period. Actual results could differ significantly from those estimates.</w:t>
      </w:r>
    </w:p>
    <w:p>
      <w:pPr>
        <w:spacing w:after="0" w:line="211"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All material intercompany balances and transactions with IMH's consolidated subsidiary (IWLG) have been eliminated in consolidation.</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For purposes of the consolidated statements of cash flows, cash and cash equivalents consists of cash and money market mutual funds. The Company considers investments with maturities of three months or less at date of acquisition to be cash equivalents.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BORROWINGS FROM SPTL</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Historical operations of IWLG have been adjusted to reflect the funding of net assets by SPTL. The adjustments are disclosed in the accompanying consolidated balance sheets as "Borrowings from SPTL." These borrowings were recorded at no more than 98% of total finance receivables which is the maximum advance rate allowed under current ICII warehouse lines of credit. Additionally, the historical operations of IWLG have been adjusted to reflect the estimated interest charges on these borrowings. In order to reflect all costs of doing business in the financial statements, interest charges have been allocated to IWLG in the accompanying consolidated statements of operations.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1440" w:gutter="0" w:footer="0" w:header="0"/>
        </w:sectPr>
      </w:pPr>
    </w:p>
    <w:bookmarkStart w:id="117" w:name="page118"/>
    <w:bookmarkEnd w:id="117"/>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The interest charges allocated are based upon estimated average borrowings balances of IWLG and SPTL's average cost of funds, which were computed based on a weighted average of SPTL borrowings. The average borrowings and interest rates used to determine the interest on IWLG borrowings are as follows: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w w:val="95"/>
              </w:rPr>
              <w:t>FOR THE YEAR ENDED</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800" w:type="dxa"/>
            <w:vAlign w:val="bottom"/>
          </w:tcPr>
          <w:p>
            <w:pPr>
              <w:spacing w:after="0"/>
              <w:rPr>
                <w:sz w:val="17"/>
                <w:szCs w:val="17"/>
                <w:color w:val="auto"/>
              </w:rPr>
            </w:pPr>
          </w:p>
        </w:tc>
        <w:tc>
          <w:tcPr>
            <w:tcW w:w="13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JANUARY 1,</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FOR THE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THROUGH</w:t>
            </w:r>
          </w:p>
        </w:tc>
        <w:tc>
          <w:tcPr>
            <w:tcW w:w="1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THREE MONTHS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NOVEMBER</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ENDED MARCH 31,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c>
          <w:tcPr>
            <w:tcW w:w="13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800" w:type="dxa"/>
            <w:vAlign w:val="bottom"/>
          </w:tcPr>
          <w:p>
            <w:pPr>
              <w:spacing w:after="0"/>
              <w:rPr>
                <w:sz w:val="17"/>
                <w:szCs w:val="17"/>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8"/>
                <w:szCs w:val="8"/>
                <w:color w:val="auto"/>
                <w:w w:val="75"/>
              </w:rPr>
              <w:t>-----------</w:t>
            </w:r>
          </w:p>
        </w:tc>
        <w:tc>
          <w:tcPr>
            <w:tcW w:w="880" w:type="dxa"/>
            <w:vAlign w:val="bottom"/>
          </w:tcPr>
          <w:p>
            <w:pPr>
              <w:spacing w:after="0"/>
              <w:rPr>
                <w:sz w:val="17"/>
                <w:szCs w:val="17"/>
                <w:color w:val="auto"/>
              </w:rPr>
            </w:pPr>
          </w:p>
        </w:tc>
        <w:tc>
          <w:tcPr>
            <w:tcW w:w="29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80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Estimated average</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borrowings...............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11,258,467</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3,343,987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3,045,442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9,821,232</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Interest rate.............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w:t>
            </w:r>
          </w:p>
        </w:tc>
        <w:tc>
          <w:tcPr>
            <w:tcW w:w="3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5.71%</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Interest allocation.......</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598,421</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47,698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126,524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334,220</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EQUITY</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Prior to the effective date of the offering, IWLG had no capital or retained earnings recorded in its accounts. To properly reflect the historical financial operations of IWLG, retained earnings were recorded as a result of net income or loss from operations on an adjusted historical basis.</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INVESTMENT IN ICI FUNDING CORPORATION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records its investment in ICIFC on the equity method. ICII owns all of the common stock of ICIFC and is entitled to 1% of the earnings or loss of ICIFC. The Company is entitled to 99% of the earnings or losses of ICIFC through its ownership of all of the non-voting preferred stock in ICIFC. ICIFC is a mortgage loan conduit organization, which purchases mortgage loans and subsequently securitizes or sells such loans to permanent investors, including IMH (see note 14).</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INVESTMENT SECURITIES AVAILABLE FOR SALE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accounts for investment securities in accordance with Statement of Financial Accounting Standard No. 115 "Accounting for Certain Investments in Debt and Equity Securities." This statement requires the Company to classify investment and mortgage-backed securities as held-to-maturity, available-for-sale, and/or trading securities. Held-to-maturity investment and mortgage-backed securities are reported at amortized cost, available-for-sale securities are reported at fair value with unrealized gains and losses, net of related income taxes, as a separate component of stockholders' equity, and trading securities are reported at fair value with unrealized gains and losses reported in income. Discounts obtained on investment securities are amortized to interest income over the estimated life of the investment securities using the interest method.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investment securities are held as available-for-sale, reported at fair value with unrealized gains and losses reported as a separate component of stockholders' equity. As the Company qualifies as a REIT and no income taxes are paid, the unrealized gains and losses are reported gross in stockholders' equity.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MORTGAGE LOANS HELD FOR INVESTMENT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purchases certain non conforming mortgage loans to be held as long-term investments. Mortgage loans held for investment are recorded at cost at the date of purchase. Mortgage loans held for investment include various types of adjustable-rate loans secured by mortgages on single-family residential real estate properties and fixed-rate loans secured by second trust deeds on single-family residential real estate properties, accounting for 89% and 11%, respectively, of the long-term investment portfolio at March 31, 1996. At December 31, 1995 the Company had no mortgage loans held for investment. Approximately 76.5% of the</w:t>
      </w:r>
    </w:p>
    <w:p>
      <w:pPr>
        <w:sectPr>
          <w:pgSz w:w="11900" w:h="16838" w:orient="portrait"/>
          <w:cols w:equalWidth="0" w:num="1">
            <w:col w:w="10219"/>
          </w:cols>
          <w:pgMar w:left="240" w:top="717" w:right="1440" w:bottom="0" w:gutter="0" w:footer="0" w:header="0"/>
        </w:sectPr>
      </w:pPr>
    </w:p>
    <w:bookmarkStart w:id="118" w:name="page119"/>
    <w:bookmarkEnd w:id="118"/>
    <w:p>
      <w:pPr>
        <w:ind w:left="28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9019"/>
          </w:cols>
          <w:pgMar w:left="1440" w:top="344" w:right="1440" w:bottom="1440" w:gutter="0" w:footer="0" w:header="0"/>
        </w:sectPr>
      </w:pPr>
    </w:p>
    <w:bookmarkStart w:id="119" w:name="page120"/>
    <w:bookmarkEnd w:id="119"/>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mortgage loans held for investment at March 31, 1996 were collateralized by properties located in California. Premiums and discounts and the market valuation related to these loans are amortized over their estimated lives using the interest method. Loans are continually evaluated for collectibility and, if appropriate, the loan may be placed on nonaccrual status, generally 90 days past due, and previously accrued interest reversed from income. As of March 31, 1996, there were no loans on nonaccrual status and the Company had an allowance for loan losses of $2.2 million.</w:t>
      </w: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maintains an allowance for losses on mortgage loans held for investment at an amount which it believes is sufficient to provide adequate protection against future losses in the mortgage loans portfolio. The allowance for losses is determined primarily on the basis of management's judgment of net loss potential, including specific allowances for known impaired loans and other factors such as changes in the nature and volume of the portfolio, value of the collateral and current economic conditions that may affect the borrowers' ability to pay. A provision is recorded for all loans or portions thereof deemed to be uncollectible thereby increasing the allowance for loan losses.</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FINANCE RECEIVABLES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Finance receivables represent transactions with customers, including ICIFC, involving predominantly residential real estate lending. As a warehouse lender, the Company is a secured creditor of the mortgage bankers and brokers to which it extends credit and is subject to the risks inherent in that status, including the risk of borrower default and bankruptcy. Any claim of the Company as a secured lender in a bankruptcy proceeding may be subject to adjustment and delay.</w:t>
      </w:r>
    </w:p>
    <w:p>
      <w:pPr>
        <w:spacing w:after="0" w:line="211"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Company maintains an allowance for losses on financing receivables at an amount which it believes is sufficient to provide adequate protection against future losses in the portfolio. The allowance for losses is determined primarily on the basis of management's judgment of net loss potential, including specific allowances for known impaired loans. A provision is recorded for all accounts or portions thereof deemed to be uncollectible.</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Finance receivables are stated at the principal balance outstanding. Interest income is recorded on the accrual basis in accordance with the terms of the loans. Finance receivables are continually evaluated for collectibility and, if appropriate, the receivable is placed on non accrual status, generally 90 days past due. Future collections of interest income are included in interest income or applied to the loan balance based on an assessment of the likelihood that the loans will be repaid.</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LEASE PAYMENT RECEIVABLES HELD FOR SALE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subordinated interest in lease receivables is collateralized by liens on equipment. Revenue on the lease receivables is accrued as earned, except where a reasonable doubt exists as to the collectibility of the related principal, in which case the accrual of income is discontinued.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IWLG did not record income taxes in its historical operations. The accompanying consolidated financial statements reflect income taxes (benefit) for IWLG as if it had been a separate subsidiary of SPTL for the period January 1, 1995 through November 19, 1995 and the years ended December 31, 1994 and 1993. As a separate subsidiary of SPTL, IWLG would file a consolidated Federal income tax return and a combined California franchise tax return with ICII. ICII's income tax allocation policy for financial statement purposes is to allocate income tax provision or benefit based on income (loss) before income taxes (benefit) of each entity within its consolidated group, adjusted for nontaxable or nondeductible items of income and expense. ICIFC's taxable income is included in ICII's Federal and State income tax returns. Post-Contribution, ICIFC will file its own tax return.</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970" w:gutter="0" w:footer="0" w:header="0"/>
        </w:sectPr>
      </w:pPr>
    </w:p>
    <w:bookmarkStart w:id="120" w:name="page121"/>
    <w:bookmarkEnd w:id="120"/>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Effective January 1, 1993, IWLG adopted SFAS 109, resulting in no material adjustment to income. Prior to the Contribution Transaction, deferred tax assets and liabilities were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IMH intends to operate so as to qualify as a real estate investment trust (REIT) under the requirements of the Internal Revenue Code (the Code). Requirements for qualification as a REIT include various restrictions on ownership of IMH's stock, requirements concerning distribution of taxable income and certain restrictions on the nature of assets and sources of income. A REIT must distribute at least 95% of its taxable income to its stockholders, the distribution of which 85% must be within the taxable year and the remaining balance may extend until timely filing of its tax return in its subsequent taxable year. Qualifying distributions of its taxable income are deductible by a REIT in computing its taxable income. Although IMH did not make any distributions during the calendar year of 1995, it can nevertheless retain its qualified REIT status and eliminate its 1995 taxable income by making a qualified distribution after the close of the 1995 taxable year in accordance with the provisions of section 858 of the Code. IMH intends to and has taken steps to satisfy the requirements of section 858 of the Code and to elect to apply amounts out of its first distributions in calendar year 1995 to effectively distribute 100% of its 1995 taxable income. The 1995 provision for income taxes for IMH in the consolidated financial statements pertains to the period prior to the Contribution Transaction. If in any tax year IMH should not qualify as a REIT, it would be taxed as a corporation and distributions to the stockholders would not be deductible in computing taxable income. If IMH were to fail to qualify as a REIT in any tax year, it would not be permitted to qualify for that year and the succeeding four years.</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ind w:right="2739" w:firstLine="211"/>
        <w:spacing w:after="0" w:line="290" w:lineRule="auto"/>
        <w:rPr>
          <w:sz w:val="20"/>
          <w:szCs w:val="20"/>
          <w:color w:val="auto"/>
        </w:rPr>
      </w:pPr>
      <w:r>
        <w:rPr>
          <w:rFonts w:ascii="Courier New" w:cs="Courier New" w:eastAsia="Courier New" w:hAnsi="Courier New"/>
          <w:sz w:val="16"/>
          <w:szCs w:val="16"/>
          <w:color w:val="auto"/>
        </w:rPr>
        <w:t>The Company accounts for its advertising costs as non-direct response advertising. Accordingly, advertising costs are expensed as incurred.</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NET INCOME PER SHARE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Net income per share is computed on the basis of the weighted average number of shares outstanding for the year. The effect on the net income per share resulting from dilution is not material during any period.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 forma net income per share as if all stock options and ICII ownership interest in IMH were outstanding since January 1, 1993 and actual net income per share for the three months ended March 31, 1996 and after the Offering for the period from November 20, 1995 through December 31, 1995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8"/>
              </w:rPr>
              <w:t>ACTUAL</w:t>
            </w:r>
          </w:p>
        </w:tc>
        <w:tc>
          <w:tcPr>
            <w:tcW w:w="300" w:type="dxa"/>
            <w:vAlign w:val="bottom"/>
          </w:tcPr>
          <w:p>
            <w:pPr>
              <w:spacing w:after="0"/>
              <w:rPr>
                <w:sz w:val="17"/>
                <w:szCs w:val="17"/>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ACTUAL</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FOR THE THREE</w:t>
            </w:r>
          </w:p>
        </w:tc>
        <w:tc>
          <w:tcPr>
            <w:tcW w:w="2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NOVEMBER 20, PRO FORMA FOR</w:t>
            </w:r>
          </w:p>
        </w:tc>
      </w:tr>
      <w:tr>
        <w:trPr>
          <w:trHeight w:val="203"/>
        </w:trPr>
        <w:tc>
          <w:tcPr>
            <w:tcW w:w="3580" w:type="dxa"/>
            <w:vAlign w:val="bottom"/>
          </w:tcPr>
          <w:p>
            <w:pPr>
              <w:spacing w:after="0"/>
              <w:rPr>
                <w:sz w:val="17"/>
                <w:szCs w:val="17"/>
                <w:color w:val="auto"/>
              </w:rPr>
            </w:pP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MONTHS ENDED</w:t>
            </w:r>
          </w:p>
        </w:tc>
        <w:tc>
          <w:tcPr>
            <w:tcW w:w="2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1995 THROUGH THE YEAR ENDED</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6"/>
              </w:rPr>
              <w:t>MARCH 31,</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DECEMBER 31,</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1996</w:t>
            </w:r>
          </w:p>
        </w:tc>
        <w:tc>
          <w:tcPr>
            <w:tcW w:w="30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580" w:type="dxa"/>
            <w:vAlign w:val="bottom"/>
          </w:tcPr>
          <w:p>
            <w:pPr>
              <w:spacing w:after="0"/>
              <w:rPr>
                <w:sz w:val="17"/>
                <w:szCs w:val="17"/>
                <w:color w:val="auto"/>
              </w:rPr>
            </w:pP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3580" w:type="dxa"/>
            <w:vAlign w:val="bottom"/>
          </w:tcPr>
          <w:p>
            <w:pPr>
              <w:spacing w:after="0"/>
              <w:rPr>
                <w:sz w:val="17"/>
                <w:szCs w:val="17"/>
                <w:color w:val="auto"/>
              </w:rPr>
            </w:pP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5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Weighted average shares outstand-</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ing.............................</w:t>
            </w:r>
          </w:p>
        </w:tc>
        <w:tc>
          <w:tcPr>
            <w:tcW w:w="32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4,307,158</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4,284,015</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955,248</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1,693,639</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315,443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2,058,375</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3580" w:type="dxa"/>
            <w:vAlign w:val="bottom"/>
          </w:tcPr>
          <w:p>
            <w:pPr>
              <w:spacing w:after="0"/>
              <w:rPr>
                <w:sz w:val="17"/>
                <w:szCs w:val="17"/>
                <w:color w:val="auto"/>
              </w:rPr>
            </w:pP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1994 and 1993 pro forma net income per share is not presented as the information is not meaningful.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0" w:gutter="0" w:footer="0" w:header="0"/>
        </w:sectPr>
      </w:pPr>
    </w:p>
    <w:bookmarkStart w:id="121" w:name="page122"/>
    <w:bookmarkEnd w:id="121"/>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There were no dividends paid in 1995. An $0.08 cash dividend was paid on January 30, 1996 (unaudited). A $0.39 cash dividend was paid on April 30, 1996 (unaudited).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Certain items in prior periods have been reclassified to conform to the current presentation.</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MORTGAGE SERVICING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May 12, 1995, the Financial Accounting Standards Board issued Statement of Financial Accounting Standards No. 122, "Accounting for Mortgage Servicing Rights" ("SFAS 122"), as an amendment to SFAS 65. The Company elected to adopt this standard for the year ended December 31, 1995. The impact on the Company from adoption of SFAS 122 is only to the extent mortgage servicing rights are recognized by ICIFC.</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November 1995, the FASB issued Statement of Financial Accounting Standards No. 123, "Accounting for Stock-Based Compensation" (SFAS 123). This statement establishes financial accounting standards for stock-based employee compensation plans. SFAS 123 permits the Company to choose either the fair value based method from SFAS 123 or intrinsic value based method of accounting for its stock-based compensation arrangements under APB Opinion 25. SFAS 123 requires pro forma disclosures of net income and income per share computed as if the fair value based method had been applied in financial statements of companies that continue to follow current practice in accounting for such arrangements under Opinion 25. SFAS 123 applies to all stock-based employee compensation plans in which an employer grants shares of its stock or other equity instruments to employees except for employee stock ownership plans. SFAS 123 also applies to plans in which the employer incurs liabilities to employees in amounts based on the price of the employer's stock, i.e., stock option plans, stock purchase plans, restricted stock plans, and stock appreciation rights. The statement also specifies the accounting for transactions in which a company issues stock options or other equity instruments for services provided by nonemployees or to acquire goods or services from outside suppliers or vendors. The recognition provision of SFAS 123 for companies choosing to adopt the new fair value based method of accounting for stock-based compensation arrangements may be adopted immediately and will apply to all transactions entered into in fiscal years that begin after December 15, 1995. The disclosure provisions of SFAS 123 are effective for fiscal years beginning after December 15, 1995; however, disclosure of the pro forma net income and income per share, as if the fair value method of accounting for stock-based compensation had been elected, is required for all awards granted in fiscal years beginning after December 31, 1994. The Company will continue to account for stock-based compensation under APB Opinion 25 and, as a result, SFAS 123 will not have a material impact on the Company's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INVESTMENT SECURITIES AVAILABLE FOR SALE</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Company's mortgage-backed securities are secured by conventional, one-to-four family mortgage loans. The yield to maturity on each security depends on, among other things, the rate and timing of principal payments (including prepayments, repurchases, defaults and liquidations), the pass-through rate and interest rate fluctuations. The Company's interest in these securities is subordinated so that, in the event of a loss, payments to senior certificate holders will be made before the Company receives its payments.</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7" w:right="1440" w:bottom="1440" w:gutter="0" w:footer="0" w:header="0"/>
        </w:sectPr>
      </w:pPr>
    </w:p>
    <w:bookmarkStart w:id="122" w:name="page123"/>
    <w:bookmarkEnd w:id="122"/>
    <w:p>
      <w:pPr>
        <w:ind w:left="13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amortized cost and estimated fair value of mortgage-backed securities available-for-sale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MARCH 31, 1996</w:t>
      </w:r>
    </w:p>
    <w:p>
      <w:pPr>
        <w:ind w:left="52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6100" w:val="left"/>
        </w:tabs>
        <w:rPr>
          <w:sz w:val="20"/>
          <w:szCs w:val="20"/>
          <w:color w:val="auto"/>
        </w:rPr>
      </w:pPr>
      <w:r>
        <w:rPr>
          <w:rFonts w:ascii="Courier New" w:cs="Courier New" w:eastAsia="Courier New" w:hAnsi="Courier New"/>
          <w:sz w:val="18"/>
          <w:szCs w:val="18"/>
          <w:color w:val="auto"/>
        </w:rPr>
        <w:t>GROSS</w:t>
      </w:r>
      <w:r>
        <w:rPr>
          <w:sz w:val="20"/>
          <w:szCs w:val="20"/>
          <w:color w:val="auto"/>
        </w:rPr>
        <w:tab/>
      </w:r>
      <w:r>
        <w:rPr>
          <w:rFonts w:ascii="Courier New" w:cs="Courier New" w:eastAsia="Courier New" w:hAnsi="Courier New"/>
          <w:sz w:val="18"/>
          <w:szCs w:val="18"/>
          <w:color w:val="auto"/>
        </w:rPr>
        <w:t>GROSS</w:t>
      </w:r>
    </w:p>
    <w:p>
      <w:pPr>
        <w:ind w:left="3580"/>
        <w:spacing w:after="0"/>
        <w:tabs>
          <w:tab w:leader="none" w:pos="4720" w:val="left"/>
          <w:tab w:leader="none" w:pos="7260" w:val="left"/>
        </w:tabs>
        <w:rPr>
          <w:sz w:val="20"/>
          <w:szCs w:val="20"/>
          <w:color w:val="auto"/>
        </w:rPr>
      </w:pPr>
      <w:r>
        <w:rPr>
          <w:rFonts w:ascii="Courier New" w:cs="Courier New" w:eastAsia="Courier New" w:hAnsi="Courier New"/>
          <w:sz w:val="18"/>
          <w:szCs w:val="18"/>
          <w:color w:val="auto"/>
        </w:rPr>
        <w:t>AMORTIZED</w:t>
        <w:tab/>
        <w:t>UNREALIZED UNREALIZED</w:t>
      </w:r>
      <w:r>
        <w:rPr>
          <w:sz w:val="20"/>
          <w:szCs w:val="20"/>
          <w:color w:val="auto"/>
        </w:rPr>
        <w:tab/>
      </w:r>
      <w:r>
        <w:rPr>
          <w:rFonts w:ascii="Courier New" w:cs="Courier New" w:eastAsia="Courier New" w:hAnsi="Courier New"/>
          <w:sz w:val="16"/>
          <w:szCs w:val="16"/>
          <w:color w:val="auto"/>
        </w:rPr>
        <w:t>ESTIMATED</w:t>
      </w:r>
    </w:p>
    <w:p>
      <w:pPr>
        <w:ind w:left="3800"/>
        <w:spacing w:after="0"/>
        <w:tabs>
          <w:tab w:leader="none" w:pos="5040" w:val="left"/>
          <w:tab w:leader="none" w:pos="6200" w:val="left"/>
          <w:tab w:leader="none" w:pos="7160" w:val="left"/>
        </w:tabs>
        <w:rPr>
          <w:sz w:val="20"/>
          <w:szCs w:val="20"/>
          <w:color w:val="auto"/>
        </w:rPr>
      </w:pP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GAIN</w:t>
      </w:r>
      <w:r>
        <w:rPr>
          <w:sz w:val="20"/>
          <w:szCs w:val="20"/>
          <w:color w:val="auto"/>
        </w:rPr>
        <w:tab/>
      </w:r>
      <w:r>
        <w:rPr>
          <w:rFonts w:ascii="Courier New" w:cs="Courier New" w:eastAsia="Courier New" w:hAnsi="Courier New"/>
          <w:sz w:val="18"/>
          <w:szCs w:val="18"/>
          <w:color w:val="auto"/>
        </w:rPr>
        <w:t>LOSS</w:t>
      </w:r>
      <w:r>
        <w:rPr>
          <w:sz w:val="20"/>
          <w:szCs w:val="20"/>
          <w:color w:val="auto"/>
        </w:rPr>
        <w:tab/>
      </w:r>
      <w:r>
        <w:rPr>
          <w:rFonts w:ascii="Courier New" w:cs="Courier New" w:eastAsia="Courier New" w:hAnsi="Courier New"/>
          <w:sz w:val="16"/>
          <w:szCs w:val="16"/>
          <w:color w:val="auto"/>
        </w:rPr>
        <w:t>FAIR VALUE</w:t>
      </w:r>
    </w:p>
    <w:p>
      <w:pPr>
        <w:ind w:left="3480"/>
        <w:spacing w:after="0"/>
        <w:tabs>
          <w:tab w:leader="none" w:pos="7160" w:val="left"/>
        </w:tabs>
        <w:rPr>
          <w:sz w:val="20"/>
          <w:szCs w:val="20"/>
          <w:color w:val="auto"/>
        </w:rPr>
      </w:pP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and Jenrette</w:t>
      </w:r>
    </w:p>
    <w:p>
      <w:pPr>
        <w:ind w:left="120"/>
        <w:spacing w:after="0" w:line="238" w:lineRule="auto"/>
        <w:rPr>
          <w:sz w:val="20"/>
          <w:szCs w:val="20"/>
          <w:color w:val="auto"/>
        </w:rPr>
      </w:pPr>
      <w:r>
        <w:rPr>
          <w:rFonts w:ascii="Courier New" w:cs="Courier New" w:eastAsia="Courier New" w:hAnsi="Courier New"/>
          <w:sz w:val="18"/>
          <w:szCs w:val="18"/>
          <w:color w:val="auto"/>
        </w:rPr>
        <w:t>Series: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1995-Q6, Class B-1............ $ 6,584,972</w:t>
      </w:r>
    </w:p>
    <w:p>
      <w:pPr>
        <w:spacing w:after="0" w:line="16" w:lineRule="exact"/>
        <w:rPr>
          <w:sz w:val="20"/>
          <w:szCs w:val="20"/>
          <w:color w:val="auto"/>
        </w:rPr>
      </w:pPr>
    </w:p>
    <w:p>
      <w:pPr>
        <w:ind w:left="220"/>
        <w:spacing w:after="0"/>
        <w:tabs>
          <w:tab w:leader="none" w:pos="3680" w:val="left"/>
        </w:tabs>
        <w:rPr>
          <w:sz w:val="20"/>
          <w:szCs w:val="20"/>
          <w:color w:val="auto"/>
        </w:rPr>
      </w:pPr>
      <w:r>
        <w:rPr>
          <w:rFonts w:ascii="Courier New" w:cs="Courier New" w:eastAsia="Courier New" w:hAnsi="Courier New"/>
          <w:sz w:val="18"/>
          <w:szCs w:val="18"/>
          <w:color w:val="auto"/>
        </w:rPr>
        <w:t>1995-4, Class B-1.............</w:t>
      </w:r>
      <w:r>
        <w:rPr>
          <w:sz w:val="20"/>
          <w:szCs w:val="20"/>
          <w:color w:val="auto"/>
        </w:rPr>
        <w:tab/>
      </w:r>
      <w:r>
        <w:rPr>
          <w:rFonts w:ascii="Courier New" w:cs="Courier New" w:eastAsia="Courier New" w:hAnsi="Courier New"/>
          <w:sz w:val="16"/>
          <w:szCs w:val="16"/>
          <w:color w:val="auto"/>
        </w:rPr>
        <w:t>3,828,628</w:t>
      </w:r>
    </w:p>
    <w:p>
      <w:pPr>
        <w:ind w:left="220"/>
        <w:spacing w:after="0"/>
        <w:tabs>
          <w:tab w:leader="none" w:pos="3680" w:val="left"/>
        </w:tabs>
        <w:rPr>
          <w:sz w:val="20"/>
          <w:szCs w:val="20"/>
          <w:color w:val="auto"/>
        </w:rPr>
      </w:pPr>
      <w:r>
        <w:rPr>
          <w:rFonts w:ascii="Courier New" w:cs="Courier New" w:eastAsia="Courier New" w:hAnsi="Courier New"/>
          <w:sz w:val="18"/>
          <w:szCs w:val="18"/>
          <w:color w:val="auto"/>
        </w:rPr>
        <w:t>1995-4, Class B-2.............</w:t>
      </w:r>
      <w:r>
        <w:rPr>
          <w:sz w:val="20"/>
          <w:szCs w:val="20"/>
          <w:color w:val="auto"/>
        </w:rPr>
        <w:tab/>
      </w:r>
      <w:r>
        <w:rPr>
          <w:rFonts w:ascii="Courier New" w:cs="Courier New" w:eastAsia="Courier New" w:hAnsi="Courier New"/>
          <w:sz w:val="16"/>
          <w:szCs w:val="16"/>
          <w:color w:val="auto"/>
        </w:rPr>
        <w:t>1,661,480</w:t>
      </w:r>
    </w:p>
    <w:p>
      <w:pPr>
        <w:spacing w:after="0"/>
        <w:rPr>
          <w:sz w:val="20"/>
          <w:szCs w:val="20"/>
          <w:color w:val="auto"/>
        </w:rPr>
      </w:pPr>
      <w:r>
        <w:rPr>
          <w:rFonts w:ascii="Courier New" w:cs="Courier New" w:eastAsia="Courier New" w:hAnsi="Courier New"/>
          <w:sz w:val="18"/>
          <w:szCs w:val="18"/>
          <w:color w:val="auto"/>
        </w:rPr>
        <w:t>Salomon Brothers</w:t>
      </w:r>
    </w:p>
    <w:p>
      <w:pPr>
        <w:ind w:left="120"/>
        <w:spacing w:after="0"/>
        <w:tabs>
          <w:tab w:leader="none" w:pos="3680" w:val="left"/>
        </w:tabs>
        <w:rPr>
          <w:sz w:val="20"/>
          <w:szCs w:val="20"/>
          <w:color w:val="auto"/>
        </w:rPr>
      </w:pPr>
      <w:r>
        <w:rPr>
          <w:rFonts w:ascii="Courier New" w:cs="Courier New" w:eastAsia="Courier New" w:hAnsi="Courier New"/>
          <w:sz w:val="18"/>
          <w:szCs w:val="18"/>
          <w:color w:val="auto"/>
        </w:rPr>
        <w:t>Series VII 95-A, Class B-2.....</w:t>
      </w:r>
      <w:r>
        <w:rPr>
          <w:sz w:val="20"/>
          <w:szCs w:val="20"/>
          <w:color w:val="auto"/>
        </w:rPr>
        <w:tab/>
      </w:r>
      <w:r>
        <w:rPr>
          <w:rFonts w:ascii="Courier New" w:cs="Courier New" w:eastAsia="Courier New" w:hAnsi="Courier New"/>
          <w:sz w:val="16"/>
          <w:szCs w:val="16"/>
          <w:color w:val="auto"/>
        </w:rPr>
        <w:t>5,409,551</w:t>
      </w:r>
    </w:p>
    <w:p>
      <w:pPr>
        <w:spacing w:after="0" w:line="238" w:lineRule="auto"/>
        <w:rPr>
          <w:sz w:val="20"/>
          <w:szCs w:val="20"/>
          <w:color w:val="auto"/>
        </w:rPr>
      </w:pPr>
      <w:r>
        <w:rPr>
          <w:rFonts w:ascii="Courier New" w:cs="Courier New" w:eastAsia="Courier New" w:hAnsi="Courier New"/>
          <w:sz w:val="18"/>
          <w:szCs w:val="18"/>
          <w:color w:val="auto"/>
        </w:rPr>
        <w:t>Bear Stearns Mortgage Securi-</w:t>
      </w:r>
    </w:p>
    <w:p>
      <w:pPr>
        <w:ind w:left="120"/>
        <w:spacing w:after="0"/>
        <w:tabs>
          <w:tab w:leader="none" w:pos="3680" w:val="left"/>
        </w:tabs>
        <w:rPr>
          <w:sz w:val="20"/>
          <w:szCs w:val="20"/>
          <w:color w:val="auto"/>
        </w:rPr>
      </w:pPr>
      <w:r>
        <w:rPr>
          <w:rFonts w:ascii="Courier New" w:cs="Courier New" w:eastAsia="Courier New" w:hAnsi="Courier New"/>
          <w:sz w:val="18"/>
          <w:szCs w:val="18"/>
          <w:color w:val="auto"/>
        </w:rPr>
        <w:t>ties, Inc. 1996-1 XI...........</w:t>
      </w:r>
      <w:r>
        <w:rPr>
          <w:sz w:val="20"/>
          <w:szCs w:val="20"/>
          <w:color w:val="auto"/>
        </w:rPr>
        <w:tab/>
      </w:r>
      <w:r>
        <w:rPr>
          <w:rFonts w:ascii="Courier New" w:cs="Courier New" w:eastAsia="Courier New" w:hAnsi="Courier New"/>
          <w:sz w:val="16"/>
          <w:szCs w:val="16"/>
          <w:color w:val="auto"/>
        </w:rPr>
        <w:t>8,512,711</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$25,997,342</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(147,645) $ 6,437,327</w:t>
      </w:r>
    </w:p>
    <w:p>
      <w:pPr>
        <w:spacing w:after="0" w:line="16" w:lineRule="exact"/>
        <w:rPr>
          <w:sz w:val="20"/>
          <w:szCs w:val="20"/>
          <w:color w:val="auto"/>
        </w:rPr>
      </w:pPr>
    </w:p>
    <w:p>
      <w:pPr>
        <w:ind w:left="520"/>
        <w:spacing w:after="0"/>
        <w:tabs>
          <w:tab w:leader="none" w:pos="1240" w:val="left"/>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(150,567)</w:t>
      </w:r>
      <w:r>
        <w:rPr>
          <w:sz w:val="20"/>
          <w:szCs w:val="20"/>
          <w:color w:val="auto"/>
        </w:rPr>
        <w:tab/>
      </w:r>
      <w:r>
        <w:rPr>
          <w:rFonts w:ascii="Courier New" w:cs="Courier New" w:eastAsia="Courier New" w:hAnsi="Courier New"/>
          <w:sz w:val="16"/>
          <w:szCs w:val="16"/>
          <w:color w:val="auto"/>
        </w:rPr>
        <w:t>3,678,061</w:t>
      </w:r>
    </w:p>
    <w:p>
      <w:pPr>
        <w:ind w:left="520"/>
        <w:spacing w:after="0"/>
        <w:tabs>
          <w:tab w:leader="none" w:pos="1340" w:val="left"/>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(65,894)</w:t>
      </w:r>
      <w:r>
        <w:rPr>
          <w:sz w:val="20"/>
          <w:szCs w:val="20"/>
          <w:color w:val="auto"/>
        </w:rPr>
        <w:tab/>
      </w:r>
      <w:r>
        <w:rPr>
          <w:rFonts w:ascii="Courier New" w:cs="Courier New" w:eastAsia="Courier New" w:hAnsi="Courier New"/>
          <w:sz w:val="16"/>
          <w:szCs w:val="16"/>
          <w:color w:val="auto"/>
        </w:rPr>
        <w:t>1,595,586</w:t>
      </w:r>
    </w:p>
    <w:p>
      <w:pPr>
        <w:spacing w:after="0" w:line="202" w:lineRule="exact"/>
        <w:rPr>
          <w:sz w:val="20"/>
          <w:szCs w:val="20"/>
          <w:color w:val="auto"/>
        </w:rPr>
      </w:pPr>
    </w:p>
    <w:p>
      <w:pPr>
        <w:ind w:left="100"/>
        <w:spacing w:after="0"/>
        <w:tabs>
          <w:tab w:leader="none" w:pos="1760" w:val="left"/>
          <w:tab w:leader="none" w:pos="2500" w:val="left"/>
        </w:tabs>
        <w:rPr>
          <w:sz w:val="20"/>
          <w:szCs w:val="20"/>
          <w:color w:val="auto"/>
        </w:rPr>
      </w:pPr>
      <w:r>
        <w:rPr>
          <w:rFonts w:ascii="Courier New" w:cs="Courier New" w:eastAsia="Courier New" w:hAnsi="Courier New"/>
          <w:sz w:val="18"/>
          <w:szCs w:val="18"/>
          <w:color w:val="auto"/>
        </w:rPr>
        <w:t>114,326</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5,523,877</w:t>
      </w:r>
    </w:p>
    <w:p>
      <w:pPr>
        <w:spacing w:after="0" w:line="201" w:lineRule="exact"/>
        <w:rPr>
          <w:sz w:val="20"/>
          <w:szCs w:val="20"/>
          <w:color w:val="auto"/>
        </w:rPr>
      </w:pPr>
    </w:p>
    <w:p>
      <w:pPr>
        <w:ind w:left="200"/>
        <w:spacing w:after="0"/>
        <w:tabs>
          <w:tab w:leader="none" w:pos="1760" w:val="left"/>
          <w:tab w:leader="none" w:pos="2500" w:val="left"/>
        </w:tabs>
        <w:rPr>
          <w:sz w:val="20"/>
          <w:szCs w:val="20"/>
          <w:color w:val="auto"/>
        </w:rPr>
      </w:pPr>
      <w:r>
        <w:rPr>
          <w:rFonts w:ascii="Courier New" w:cs="Courier New" w:eastAsia="Courier New" w:hAnsi="Courier New"/>
          <w:sz w:val="18"/>
          <w:szCs w:val="18"/>
          <w:color w:val="auto"/>
        </w:rPr>
        <w:t>58,230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8,570,941</w:t>
      </w:r>
    </w:p>
    <w:p>
      <w:pPr>
        <w:spacing w:after="0"/>
        <w:tabs>
          <w:tab w:leader="none" w:pos="1020" w:val="left"/>
          <w:tab w:leader="none" w:pos="23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tabs>
          <w:tab w:leader="none" w:pos="1020" w:val="left"/>
        </w:tabs>
        <w:rPr>
          <w:sz w:val="20"/>
          <w:szCs w:val="20"/>
          <w:color w:val="auto"/>
        </w:rPr>
      </w:pPr>
      <w:r>
        <w:rPr>
          <w:rFonts w:ascii="Courier New" w:cs="Courier New" w:eastAsia="Courier New" w:hAnsi="Courier New"/>
          <w:sz w:val="18"/>
          <w:szCs w:val="18"/>
          <w:color w:val="auto"/>
        </w:rPr>
        <w:t>$172,556</w:t>
      </w:r>
      <w:r>
        <w:rPr>
          <w:sz w:val="20"/>
          <w:szCs w:val="20"/>
          <w:color w:val="auto"/>
        </w:rPr>
        <w:tab/>
      </w:r>
      <w:r>
        <w:rPr>
          <w:rFonts w:ascii="Courier New" w:cs="Courier New" w:eastAsia="Courier New" w:hAnsi="Courier New"/>
          <w:sz w:val="16"/>
          <w:szCs w:val="16"/>
          <w:color w:val="auto"/>
        </w:rPr>
        <w:t>$ (364,106) $25,805,792</w:t>
      </w:r>
    </w:p>
    <w:p>
      <w:pPr>
        <w:spacing w:after="0"/>
        <w:tabs>
          <w:tab w:leader="none" w:pos="1020" w:val="left"/>
          <w:tab w:leader="none" w:pos="23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220"/>
            <w:col w:w="535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DECEMBER 31, 1995</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6300" w:val="left"/>
        </w:tabs>
        <w:rPr>
          <w:sz w:val="20"/>
          <w:szCs w:val="20"/>
          <w:color w:val="auto"/>
        </w:rPr>
      </w:pPr>
      <w:r>
        <w:rPr>
          <w:rFonts w:ascii="Courier New" w:cs="Courier New" w:eastAsia="Courier New" w:hAnsi="Courier New"/>
          <w:sz w:val="18"/>
          <w:szCs w:val="18"/>
          <w:color w:val="auto"/>
        </w:rPr>
        <w:t>GROSS</w:t>
      </w:r>
      <w:r>
        <w:rPr>
          <w:sz w:val="20"/>
          <w:szCs w:val="20"/>
          <w:color w:val="auto"/>
        </w:rPr>
        <w:tab/>
      </w:r>
      <w:r>
        <w:rPr>
          <w:rFonts w:ascii="Courier New" w:cs="Courier New" w:eastAsia="Courier New" w:hAnsi="Courier New"/>
          <w:sz w:val="18"/>
          <w:szCs w:val="18"/>
          <w:color w:val="auto"/>
        </w:rPr>
        <w:t>GROSS</w:t>
      </w:r>
    </w:p>
    <w:p>
      <w:pPr>
        <w:ind w:left="3800"/>
        <w:spacing w:after="0"/>
        <w:tabs>
          <w:tab w:leader="none" w:pos="4940" w:val="left"/>
          <w:tab w:leader="none" w:pos="7360" w:val="left"/>
        </w:tabs>
        <w:rPr>
          <w:sz w:val="20"/>
          <w:szCs w:val="20"/>
          <w:color w:val="auto"/>
        </w:rPr>
      </w:pPr>
      <w:r>
        <w:rPr>
          <w:rFonts w:ascii="Courier New" w:cs="Courier New" w:eastAsia="Courier New" w:hAnsi="Courier New"/>
          <w:sz w:val="18"/>
          <w:szCs w:val="18"/>
          <w:color w:val="auto"/>
        </w:rPr>
        <w:t>AMORTIZED</w:t>
        <w:tab/>
        <w:t>UNREALIZED UNREALIZED</w:t>
      </w:r>
      <w:r>
        <w:rPr>
          <w:sz w:val="20"/>
          <w:szCs w:val="20"/>
          <w:color w:val="auto"/>
        </w:rPr>
        <w:tab/>
      </w:r>
      <w:r>
        <w:rPr>
          <w:rFonts w:ascii="Courier New" w:cs="Courier New" w:eastAsia="Courier New" w:hAnsi="Courier New"/>
          <w:sz w:val="16"/>
          <w:szCs w:val="16"/>
          <w:color w:val="auto"/>
        </w:rPr>
        <w:t>ESTIMATED</w:t>
      </w:r>
    </w:p>
    <w:p>
      <w:pPr>
        <w:ind w:left="4020"/>
        <w:spacing w:after="0"/>
        <w:tabs>
          <w:tab w:leader="none" w:pos="5260" w:val="left"/>
          <w:tab w:leader="none" w:pos="6420" w:val="left"/>
          <w:tab w:leader="none" w:pos="7260" w:val="left"/>
        </w:tabs>
        <w:rPr>
          <w:sz w:val="20"/>
          <w:szCs w:val="20"/>
          <w:color w:val="auto"/>
        </w:rPr>
      </w:pP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GAIN</w:t>
      </w:r>
      <w:r>
        <w:rPr>
          <w:sz w:val="20"/>
          <w:szCs w:val="20"/>
          <w:color w:val="auto"/>
        </w:rPr>
        <w:tab/>
      </w:r>
      <w:r>
        <w:rPr>
          <w:rFonts w:ascii="Courier New" w:cs="Courier New" w:eastAsia="Courier New" w:hAnsi="Courier New"/>
          <w:sz w:val="18"/>
          <w:szCs w:val="18"/>
          <w:color w:val="auto"/>
        </w:rPr>
        <w:t>LOSS</w:t>
      </w:r>
      <w:r>
        <w:rPr>
          <w:sz w:val="20"/>
          <w:szCs w:val="20"/>
          <w:color w:val="auto"/>
        </w:rPr>
        <w:tab/>
      </w:r>
      <w:r>
        <w:rPr>
          <w:rFonts w:ascii="Courier New" w:cs="Courier New" w:eastAsia="Courier New" w:hAnsi="Courier New"/>
          <w:sz w:val="16"/>
          <w:szCs w:val="16"/>
          <w:color w:val="auto"/>
        </w:rPr>
        <w:t>FAIR VALUE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and Jenrette</w:t>
      </w:r>
    </w:p>
    <w:p>
      <w:pPr>
        <w:ind w:left="120"/>
        <w:spacing w:after="0" w:line="238" w:lineRule="auto"/>
        <w:rPr>
          <w:sz w:val="20"/>
          <w:szCs w:val="20"/>
          <w:color w:val="auto"/>
        </w:rPr>
      </w:pPr>
      <w:r>
        <w:rPr>
          <w:rFonts w:ascii="Courier New" w:cs="Courier New" w:eastAsia="Courier New" w:hAnsi="Courier New"/>
          <w:sz w:val="18"/>
          <w:szCs w:val="18"/>
          <w:color w:val="auto"/>
        </w:rPr>
        <w:t>Series:</w:t>
      </w:r>
    </w:p>
    <w:p>
      <w:pPr>
        <w:sectPr>
          <w:pgSz w:w="11900" w:h="16838" w:orient="portrait"/>
          <w:cols w:equalWidth="0" w:num="1">
            <w:col w:w="10219"/>
          </w:cols>
          <w:pgMar w:left="240" w:top="717" w:right="1440" w:bottom="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1995-Q6, Class B-1.............</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1995-4, Class B-1..............</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1995-4, Class B-2..............</w:t>
      </w:r>
    </w:p>
    <w:p>
      <w:pPr>
        <w:spacing w:after="0" w:line="20" w:lineRule="exact"/>
        <w:rPr>
          <w:sz w:val="20"/>
          <w:szCs w:val="20"/>
          <w:color w:val="auto"/>
        </w:rPr>
      </w:pPr>
      <w:r>
        <w:rPr>
          <w:sz w:val="20"/>
          <w:szCs w:val="20"/>
          <w:color w:val="auto"/>
        </w:rPr>
        <w:br w:type="column"/>
      </w:r>
    </w:p>
    <w:p>
      <w:pPr>
        <w:jc w:val="right"/>
        <w:ind w:right="20"/>
        <w:spacing w:after="0" w:line="268" w:lineRule="auto"/>
        <w:rPr>
          <w:sz w:val="20"/>
          <w:szCs w:val="20"/>
          <w:color w:val="auto"/>
        </w:rPr>
      </w:pPr>
      <w:r>
        <w:rPr>
          <w:rFonts w:ascii="Courier New" w:cs="Courier New" w:eastAsia="Courier New" w:hAnsi="Courier New"/>
          <w:sz w:val="16"/>
          <w:szCs w:val="16"/>
          <w:color w:val="auto"/>
        </w:rPr>
        <w:t>$ 6,585,440 3,793,799 1,641,124</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 $(36,496) $ 6,548,944 -- (7,962) 3,785,837 -- (4,321) 1,636,803</w:t>
      </w:r>
    </w:p>
    <w:p>
      <w:pPr>
        <w:spacing w:after="0" w:line="6" w:lineRule="exact"/>
        <w:rPr>
          <w:sz w:val="20"/>
          <w:szCs w:val="20"/>
          <w:color w:val="auto"/>
        </w:rPr>
      </w:pPr>
    </w:p>
    <w:p>
      <w:pPr>
        <w:sectPr>
          <w:pgSz w:w="11900" w:h="16838" w:orient="portrait"/>
          <w:cols w:equalWidth="0" w:num="3">
            <w:col w:w="3480" w:space="220"/>
            <w:col w:w="1180" w:space="720"/>
            <w:col w:w="461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Salomon Brothers Series VII 95-A,</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Class B-2.......................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211"/>
        <w:spacing w:after="0" w:line="275" w:lineRule="auto"/>
        <w:rPr>
          <w:sz w:val="20"/>
          <w:szCs w:val="20"/>
          <w:color w:val="auto"/>
        </w:rPr>
      </w:pPr>
      <w:r>
        <w:rPr>
          <w:rFonts w:ascii="Courier New" w:cs="Courier New" w:eastAsia="Courier New" w:hAnsi="Courier New"/>
          <w:sz w:val="16"/>
          <w:szCs w:val="16"/>
          <w:color w:val="auto"/>
        </w:rPr>
        <w:t>5,450,538 ----------- $17,470,901 ===========</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779" w:firstLine="105"/>
        <w:spacing w:after="0" w:line="275" w:lineRule="auto"/>
        <w:rPr>
          <w:sz w:val="20"/>
          <w:szCs w:val="20"/>
          <w:color w:val="auto"/>
        </w:rPr>
      </w:pPr>
      <w:r>
        <w:rPr>
          <w:rFonts w:ascii="Courier New" w:cs="Courier New" w:eastAsia="Courier New" w:hAnsi="Courier New"/>
          <w:sz w:val="16"/>
          <w:szCs w:val="16"/>
          <w:color w:val="auto"/>
        </w:rPr>
        <w:t>(43,884) 5,406,654 -------- ----------- $(92,663) $17,378,238 ======== ===========</w:t>
      </w:r>
    </w:p>
    <w:p>
      <w:pPr>
        <w:spacing w:after="0" w:line="182" w:lineRule="exact"/>
        <w:rPr>
          <w:sz w:val="20"/>
          <w:szCs w:val="20"/>
          <w:color w:val="auto"/>
        </w:rPr>
      </w:pPr>
    </w:p>
    <w:p>
      <w:pPr>
        <w:sectPr>
          <w:pgSz w:w="11900" w:h="16838" w:orient="portrait"/>
          <w:cols w:equalWidth="0" w:num="4">
            <w:col w:w="3480" w:space="220"/>
            <w:col w:w="1160" w:space="200"/>
            <w:col w:w="840" w:space="320"/>
            <w:col w:w="3999"/>
          </w:cols>
          <w:pgMar w:left="240" w:top="717" w:right="1440" w:bottom="0" w:gutter="0" w:footer="0" w:header="0"/>
          <w:type w:val="continuous"/>
        </w:sect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Company purchased two of its mortgage-backed securities from SPTL in December 1995 (see note 8).</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Company holds other securities available-for-sale with estimated fair values as follows:</w:t>
      </w: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MARCH 31, 1996</w:t>
      </w:r>
    </w:p>
    <w:p>
      <w:pPr>
        <w:ind w:left="54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6300" w:val="left"/>
        </w:tabs>
        <w:rPr>
          <w:sz w:val="20"/>
          <w:szCs w:val="20"/>
          <w:color w:val="auto"/>
        </w:rPr>
      </w:pPr>
      <w:r>
        <w:rPr>
          <w:rFonts w:ascii="Courier New" w:cs="Courier New" w:eastAsia="Courier New" w:hAnsi="Courier New"/>
          <w:sz w:val="18"/>
          <w:szCs w:val="18"/>
          <w:color w:val="auto"/>
        </w:rPr>
        <w:t>GROSS</w:t>
      </w:r>
      <w:r>
        <w:rPr>
          <w:sz w:val="20"/>
          <w:szCs w:val="20"/>
          <w:color w:val="auto"/>
        </w:rPr>
        <w:tab/>
      </w:r>
      <w:r>
        <w:rPr>
          <w:rFonts w:ascii="Courier New" w:cs="Courier New" w:eastAsia="Courier New" w:hAnsi="Courier New"/>
          <w:sz w:val="18"/>
          <w:szCs w:val="18"/>
          <w:color w:val="auto"/>
        </w:rPr>
        <w:t>GROSS</w:t>
      </w:r>
    </w:p>
    <w:p>
      <w:pPr>
        <w:ind w:left="3800"/>
        <w:spacing w:after="0"/>
        <w:tabs>
          <w:tab w:leader="none" w:pos="4940" w:val="left"/>
          <w:tab w:leader="none" w:pos="7360" w:val="left"/>
        </w:tabs>
        <w:rPr>
          <w:sz w:val="20"/>
          <w:szCs w:val="20"/>
          <w:color w:val="auto"/>
        </w:rPr>
      </w:pPr>
      <w:r>
        <w:rPr>
          <w:rFonts w:ascii="Courier New" w:cs="Courier New" w:eastAsia="Courier New" w:hAnsi="Courier New"/>
          <w:sz w:val="18"/>
          <w:szCs w:val="18"/>
          <w:color w:val="auto"/>
        </w:rPr>
        <w:t>AMORTIZED</w:t>
        <w:tab/>
        <w:t>UNREALIZED UNREALIZED</w:t>
      </w:r>
      <w:r>
        <w:rPr>
          <w:sz w:val="20"/>
          <w:szCs w:val="20"/>
          <w:color w:val="auto"/>
        </w:rPr>
        <w:tab/>
      </w:r>
      <w:r>
        <w:rPr>
          <w:rFonts w:ascii="Courier New" w:cs="Courier New" w:eastAsia="Courier New" w:hAnsi="Courier New"/>
          <w:sz w:val="16"/>
          <w:szCs w:val="16"/>
          <w:color w:val="auto"/>
        </w:rPr>
        <w:t>ESTIMATED</w:t>
      </w:r>
    </w:p>
    <w:p>
      <w:pPr>
        <w:ind w:left="4020"/>
        <w:spacing w:after="0"/>
        <w:tabs>
          <w:tab w:leader="none" w:pos="5260" w:val="left"/>
          <w:tab w:leader="none" w:pos="6420" w:val="left"/>
          <w:tab w:leader="none" w:pos="7260" w:val="left"/>
        </w:tabs>
        <w:rPr>
          <w:sz w:val="20"/>
          <w:szCs w:val="20"/>
          <w:color w:val="auto"/>
        </w:rPr>
      </w:pP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GAIN</w:t>
      </w:r>
      <w:r>
        <w:rPr>
          <w:sz w:val="20"/>
          <w:szCs w:val="20"/>
          <w:color w:val="auto"/>
        </w:rPr>
        <w:tab/>
      </w:r>
      <w:r>
        <w:rPr>
          <w:rFonts w:ascii="Courier New" w:cs="Courier New" w:eastAsia="Courier New" w:hAnsi="Courier New"/>
          <w:sz w:val="18"/>
          <w:szCs w:val="18"/>
          <w:color w:val="auto"/>
        </w:rPr>
        <w:t>LOSS</w:t>
      </w:r>
      <w:r>
        <w:rPr>
          <w:sz w:val="20"/>
          <w:szCs w:val="20"/>
          <w:color w:val="auto"/>
        </w:rPr>
        <w:tab/>
      </w:r>
      <w:r>
        <w:rPr>
          <w:rFonts w:ascii="Courier New" w:cs="Courier New" w:eastAsia="Courier New" w:hAnsi="Courier New"/>
          <w:sz w:val="16"/>
          <w:szCs w:val="16"/>
          <w:color w:val="auto"/>
        </w:rPr>
        <w:t>FAIR VALUE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Imperial Credit Industries, Inc.</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 3/4% Senior Notes.............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$ 4,500,000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$ 4,625,000</w:t>
      </w:r>
    </w:p>
    <w:p>
      <w:pPr>
        <w:spacing w:after="0" w:line="21" w:lineRule="exact"/>
        <w:rPr>
          <w:sz w:val="20"/>
          <w:szCs w:val="20"/>
          <w:color w:val="auto"/>
        </w:rPr>
      </w:pPr>
    </w:p>
    <w:p>
      <w:pPr>
        <w:sectPr>
          <w:pgSz w:w="11900" w:h="16838" w:orient="portrait"/>
          <w:cols w:equalWidth="0" w:num="5">
            <w:col w:w="3480" w:space="220"/>
            <w:col w:w="1160" w:space="200"/>
            <w:col w:w="840" w:space="320"/>
            <w:col w:w="100" w:space="420"/>
            <w:col w:w="347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Franchise Loan Receivables Trust</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1995-B..........................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211"/>
        <w:spacing w:after="0" w:line="275" w:lineRule="auto"/>
        <w:rPr>
          <w:sz w:val="20"/>
          <w:szCs w:val="20"/>
          <w:color w:val="auto"/>
        </w:rPr>
      </w:pPr>
      <w:r>
        <w:rPr>
          <w:rFonts w:ascii="Courier New" w:cs="Courier New" w:eastAsia="Courier New" w:hAnsi="Courier New"/>
          <w:sz w:val="16"/>
          <w:szCs w:val="16"/>
          <w:color w:val="auto"/>
        </w:rPr>
        <w:t>2,812,091 ----------- $ 7,312,091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$125,000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2,812,091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$ 7,437,091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41" w:lineRule="exact"/>
        <w:rPr>
          <w:sz w:val="20"/>
          <w:szCs w:val="20"/>
          <w:color w:val="auto"/>
        </w:rPr>
      </w:pPr>
    </w:p>
    <w:p>
      <w:pPr>
        <w:sectPr>
          <w:pgSz w:w="11900" w:h="16838" w:orient="portrait"/>
          <w:cols w:equalWidth="0" w:num="5">
            <w:col w:w="3480" w:space="220"/>
            <w:col w:w="1160" w:space="200"/>
            <w:col w:w="840" w:space="320"/>
            <w:col w:w="840" w:space="220"/>
            <w:col w:w="2939"/>
          </w:cols>
          <w:pgMar w:left="240" w:top="717" w:right="1440" w:bottom="0" w:gutter="0" w:footer="0" w:header="0"/>
          <w:type w:val="continuous"/>
        </w:sectPr>
      </w:pPr>
    </w:p>
    <w:p>
      <w:pPr>
        <w:spacing w:after="0" w:line="185"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The equity in the Franchise Loans Receivables Trust 1995-B was purchased from ICII in the first quarter of 1996.</w:t>
      </w:r>
    </w:p>
    <w:p>
      <w:pPr>
        <w:sectPr>
          <w:pgSz w:w="11900" w:h="16838" w:orient="portrait"/>
          <w:cols w:equalWidth="0" w:num="1">
            <w:col w:w="10219"/>
          </w:cols>
          <w:pgMar w:left="240" w:top="717" w:right="1440" w:bottom="0" w:gutter="0" w:footer="0" w:header="0"/>
          <w:type w:val="continuous"/>
        </w:sectPr>
      </w:pPr>
    </w:p>
    <w:bookmarkStart w:id="123" w:name="page124"/>
    <w:bookmarkEnd w:id="123"/>
    <w:p>
      <w:pPr>
        <w:spacing w:after="0"/>
        <w:rPr>
          <w:sz w:val="20"/>
          <w:szCs w:val="20"/>
          <w:color w:val="auto"/>
        </w:rPr>
      </w:pPr>
      <w:r>
        <w:rPr>
          <w:rFonts w:ascii="Courier New" w:cs="Courier New" w:eastAsia="Courier New" w:hAnsi="Courier New"/>
          <w:sz w:val="18"/>
          <w:szCs w:val="18"/>
          <w:color w:val="auto"/>
        </w:rPr>
        <w:t>3. MORTGAGE LOANS HELD FOR INVESTMENT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Mortgage loans held for investment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AT MARCH 31,</w:t>
      </w:r>
    </w:p>
    <w:p>
      <w:pPr>
        <w:ind w:left="7280"/>
        <w:spacing w:after="0" w:line="238" w:lineRule="auto"/>
        <w:rPr>
          <w:sz w:val="20"/>
          <w:szCs w:val="20"/>
          <w:color w:val="auto"/>
        </w:rPr>
      </w:pPr>
      <w:r>
        <w:rPr>
          <w:rFonts w:ascii="Courier New" w:cs="Courier New" w:eastAsia="Courier New" w:hAnsi="Courier New"/>
          <w:sz w:val="18"/>
          <w:szCs w:val="18"/>
          <w:color w:val="auto"/>
        </w:rPr>
        <w:t>1996</w:t>
      </w:r>
    </w:p>
    <w:p>
      <w:pPr>
        <w:ind w:left="6860"/>
        <w:spacing w:after="0"/>
        <w:rPr>
          <w:sz w:val="20"/>
          <w:szCs w:val="20"/>
          <w:color w:val="auto"/>
        </w:rPr>
      </w:pPr>
      <w:r>
        <w:rPr>
          <w:rFonts w:ascii="Courier New" w:cs="Courier New" w:eastAsia="Courier New" w:hAnsi="Courier New"/>
          <w:sz w:val="18"/>
          <w:szCs w:val="18"/>
          <w:color w:val="auto"/>
        </w:rPr>
        <w:t>------------</w:t>
      </w:r>
    </w:p>
    <w:p>
      <w:pPr>
        <w:ind w:left="686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Loans secured by single-family residential real estate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properties............................................... $309,816,250</w:t>
      </w:r>
    </w:p>
    <w:p>
      <w:pPr>
        <w:spacing w:after="0" w:line="16" w:lineRule="exact"/>
        <w:rPr>
          <w:sz w:val="20"/>
          <w:szCs w:val="20"/>
          <w:color w:val="auto"/>
        </w:rPr>
      </w:pPr>
    </w:p>
    <w:p>
      <w:pPr>
        <w:ind w:left="740"/>
        <w:spacing w:after="0"/>
        <w:tabs>
          <w:tab w:leader="none" w:pos="7160" w:val="left"/>
        </w:tabs>
        <w:rPr>
          <w:sz w:val="20"/>
          <w:szCs w:val="20"/>
          <w:color w:val="auto"/>
        </w:rPr>
      </w:pPr>
      <w:r>
        <w:rPr>
          <w:rFonts w:ascii="Courier New" w:cs="Courier New" w:eastAsia="Courier New" w:hAnsi="Courier New"/>
          <w:sz w:val="18"/>
          <w:szCs w:val="18"/>
          <w:color w:val="auto"/>
        </w:rPr>
        <w:t>Premiums on loans........................................</w:t>
      </w:r>
      <w:r>
        <w:rPr>
          <w:sz w:val="20"/>
          <w:szCs w:val="20"/>
          <w:color w:val="auto"/>
        </w:rPr>
        <w:tab/>
      </w:r>
      <w:r>
        <w:rPr>
          <w:rFonts w:ascii="Courier New" w:cs="Courier New" w:eastAsia="Courier New" w:hAnsi="Courier New"/>
          <w:sz w:val="16"/>
          <w:szCs w:val="16"/>
          <w:color w:val="auto"/>
        </w:rPr>
        <w:t>3,934,698</w:t>
      </w:r>
    </w:p>
    <w:p>
      <w:pPr>
        <w:ind w:left="740"/>
        <w:spacing w:after="0"/>
        <w:tabs>
          <w:tab w:leader="none" w:pos="7040" w:val="left"/>
        </w:tabs>
        <w:rPr>
          <w:sz w:val="20"/>
          <w:szCs w:val="20"/>
          <w:color w:val="auto"/>
        </w:rPr>
      </w:pPr>
      <w:r>
        <w:rPr>
          <w:rFonts w:ascii="Courier New" w:cs="Courier New" w:eastAsia="Courier New" w:hAnsi="Courier New"/>
          <w:sz w:val="18"/>
          <w:szCs w:val="18"/>
          <w:color w:val="auto"/>
        </w:rPr>
        <w:t>Allowance for loan losses................................</w:t>
      </w:r>
      <w:r>
        <w:rPr>
          <w:sz w:val="20"/>
          <w:szCs w:val="20"/>
          <w:color w:val="auto"/>
        </w:rPr>
        <w:tab/>
      </w:r>
      <w:r>
        <w:rPr>
          <w:rFonts w:ascii="Courier New" w:cs="Courier New" w:eastAsia="Courier New" w:hAnsi="Courier New"/>
          <w:sz w:val="16"/>
          <w:szCs w:val="16"/>
          <w:color w:val="auto"/>
        </w:rPr>
        <w:t>(2,290,000)</w:t>
      </w:r>
    </w:p>
    <w:p>
      <w:pPr>
        <w:ind w:left="6860"/>
        <w:spacing w:after="0"/>
        <w:rPr>
          <w:sz w:val="20"/>
          <w:szCs w:val="20"/>
          <w:color w:val="auto"/>
        </w:rPr>
      </w:pPr>
      <w:r>
        <w:rPr>
          <w:rFonts w:ascii="Courier New" w:cs="Courier New" w:eastAsia="Courier New" w:hAnsi="Courier New"/>
          <w:sz w:val="18"/>
          <w:szCs w:val="18"/>
          <w:color w:val="auto"/>
        </w:rPr>
        <w:t>------------</w:t>
      </w:r>
    </w:p>
    <w:p>
      <w:pPr>
        <w:ind w:left="6860"/>
        <w:spacing w:after="0" w:line="237" w:lineRule="auto"/>
        <w:rPr>
          <w:sz w:val="20"/>
          <w:szCs w:val="20"/>
          <w:color w:val="auto"/>
        </w:rPr>
      </w:pPr>
      <w:r>
        <w:rPr>
          <w:rFonts w:ascii="Courier New" w:cs="Courier New" w:eastAsia="Courier New" w:hAnsi="Courier New"/>
          <w:sz w:val="18"/>
          <w:szCs w:val="18"/>
          <w:color w:val="auto"/>
        </w:rPr>
        <w:t>$311,460,948</w:t>
      </w:r>
    </w:p>
    <w:p>
      <w:pPr>
        <w:ind w:left="6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339" w:right="1440" w:bottom="1440" w:gutter="0" w:footer="0" w:header="0"/>
        </w:sectPr>
      </w:pPr>
    </w:p>
    <w:bookmarkStart w:id="124" w:name="page125"/>
    <w:bookmarkEnd w:id="124"/>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 were no mortgage loans held for investment at December 31, 1995.</w:t>
      </w:r>
    </w:p>
    <w:p>
      <w:pPr>
        <w:spacing w:after="0" w:line="207"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The allowance for loan loss activity for the three months ended March 31, 1996 consisted only of a provision. There were no charge-offs or recoveries during that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FINANCE RECEIVABLES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finance receivables represent warehouse lines of credit with mortgage banking companies collateralized by mortgage loans on single family residences. Because of the concentration of mortgage loans underlying the Company's finance receivables located in California, which was 63% at December 31, 1995, a significant decline in regional economic conditions, or some other regional catastrophe, could result in mortgage banking companies being unable to sell mortgage loans and the Company suffering losses on their warehouse lines or in fewer mortgage loans available for warehouse lending by the Company and ultimately a decline in interest income and fee income. No other significant concentrations existed at December 31, 1995.</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Finance receivables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AT DECEMBER</w:t>
            </w:r>
          </w:p>
        </w:tc>
        <w:tc>
          <w:tcPr>
            <w:tcW w:w="1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 MARCH 31,</w:t>
            </w:r>
          </w:p>
        </w:tc>
        <w:tc>
          <w:tcPr>
            <w:tcW w:w="320" w:type="dxa"/>
            <w:vAlign w:val="bottom"/>
          </w:tcPr>
          <w:p>
            <w:pPr>
              <w:spacing w:after="0"/>
              <w:rPr>
                <w:sz w:val="17"/>
                <w:szCs w:val="17"/>
                <w:color w:val="auto"/>
              </w:rPr>
            </w:pPr>
          </w:p>
        </w:tc>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Due from ICIFC............</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173,407,629</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550,290,862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Due from other mortgage</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banking companies........</w:t>
            </w: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22,882,931</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32,730,251</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3,119,814</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196,290,560</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583,021,113</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3,119,814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finance re-</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ceivable losses..........</w:t>
            </w:r>
          </w:p>
        </w:tc>
        <w:tc>
          <w:tcPr>
            <w:tcW w:w="20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(225,000)</w:t>
            </w:r>
          </w:p>
        </w:tc>
        <w:tc>
          <w:tcPr>
            <w:tcW w:w="3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(95,374)</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w w:val="92"/>
              </w:rPr>
              <w:t>$</w:t>
            </w: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196,065,560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582,921,113</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3,024,440</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Company earns interest rates at prime (8.5% at December 31, 1995) on warehouse lines to ICIFC and prime plus one-half to two percent on its warehouse lines to other mortgage banking companies. These lines have maturities which range from on demand to one year and are generally collateralized by mortgages on single family residences.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Activity in the allowance for finance receivable losses for the year ended</w:t>
      </w:r>
    </w:p>
    <w:p>
      <w:pPr>
        <w:spacing w:after="0" w:line="238" w:lineRule="auto"/>
        <w:rPr>
          <w:sz w:val="20"/>
          <w:szCs w:val="20"/>
          <w:color w:val="auto"/>
        </w:rPr>
      </w:pPr>
      <w:r>
        <w:rPr>
          <w:rFonts w:ascii="Courier New" w:cs="Courier New" w:eastAsia="Courier New" w:hAnsi="Courier New"/>
          <w:sz w:val="18"/>
          <w:szCs w:val="18"/>
          <w:color w:val="auto"/>
        </w:rPr>
        <w:t>December 31 was as follows:</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FOR THE THREE</w:t>
      </w:r>
    </w:p>
    <w:p>
      <w:pPr>
        <w:ind w:left="3800"/>
        <w:spacing w:after="0" w:line="238" w:lineRule="auto"/>
        <w:rPr>
          <w:sz w:val="20"/>
          <w:szCs w:val="20"/>
          <w:color w:val="auto"/>
        </w:rPr>
      </w:pPr>
      <w:r>
        <w:rPr>
          <w:rFonts w:ascii="Courier New" w:cs="Courier New" w:eastAsia="Courier New" w:hAnsi="Courier New"/>
          <w:sz w:val="18"/>
          <w:szCs w:val="18"/>
          <w:color w:val="auto"/>
        </w:rPr>
        <w:t>MONTHS ENDED MARCH</w:t>
      </w:r>
    </w:p>
    <w:p>
      <w:pPr>
        <w:ind w:left="4640"/>
        <w:spacing w:after="0"/>
        <w:rPr>
          <w:sz w:val="20"/>
          <w:szCs w:val="20"/>
          <w:color w:val="auto"/>
        </w:rPr>
      </w:pPr>
      <w:r>
        <w:rPr>
          <w:rFonts w:ascii="Courier New" w:cs="Courier New" w:eastAsia="Courier New" w:hAnsi="Courier New"/>
          <w:sz w:val="18"/>
          <w:szCs w:val="18"/>
          <w:color w:val="auto"/>
        </w:rPr>
        <w:t>31,</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514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p>
    <w:p>
      <w:pPr>
        <w:spacing w:after="0" w:line="4" w:lineRule="exact"/>
        <w:rPr>
          <w:sz w:val="20"/>
          <w:szCs w:val="20"/>
          <w:color w:val="auto"/>
        </w:rPr>
      </w:pPr>
    </w:p>
    <w:p>
      <w:pPr>
        <w:ind w:left="3800"/>
        <w:spacing w:after="0"/>
        <w:tabs>
          <w:tab w:leader="none" w:pos="5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ENDED</w:t>
      </w:r>
    </w:p>
    <w:p>
      <w:pPr>
        <w:ind w:left="320"/>
        <w:spacing w:after="0" w:line="238" w:lineRule="auto"/>
        <w:rPr>
          <w:sz w:val="20"/>
          <w:szCs w:val="20"/>
          <w:color w:val="auto"/>
        </w:rPr>
      </w:pPr>
      <w:r>
        <w:rPr>
          <w:rFonts w:ascii="Courier New" w:cs="Courier New" w:eastAsia="Courier New" w:hAnsi="Courier New"/>
          <w:sz w:val="18"/>
          <w:szCs w:val="18"/>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pacing w:after="0" w:line="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2">
            <w:col w:w="5800" w:space="520"/>
            <w:col w:w="3899"/>
          </w:cols>
          <w:pgMar w:left="240" w:top="717"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Balance, beginning of peri-</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100,000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95,374</w:t>
      </w:r>
    </w:p>
    <w:p>
      <w:pPr>
        <w:spacing w:after="0" w:line="20" w:lineRule="exact"/>
        <w:rPr>
          <w:sz w:val="20"/>
          <w:szCs w:val="20"/>
          <w:color w:val="auto"/>
        </w:rPr>
      </w:pPr>
      <w:r>
        <w:rPr>
          <w:sz w:val="20"/>
          <w:szCs w:val="20"/>
          <w:color w:val="auto"/>
        </w:rPr>
        <w:br w:type="column"/>
      </w:r>
    </w:p>
    <w:p>
      <w:pPr>
        <w:jc w:val="cente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95,374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7">
            <w:col w:w="3160" w:space="320"/>
            <w:col w:w="1060" w:space="200"/>
            <w:col w:w="120" w:space="300"/>
            <w:col w:w="640" w:space="320"/>
            <w:col w:w="1060" w:space="300"/>
            <w:col w:w="120" w:space="520"/>
            <w:col w:w="2099"/>
          </w:cols>
          <w:pgMar w:left="240" w:top="717"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Provision for finance re-</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ceivable losses...........</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Charge-offs................</w:t>
      </w: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125,000</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225,000</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104,152</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199,526</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487,505</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(482,879)</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100,000</w:t>
      </w:r>
    </w:p>
    <w:p>
      <w:pPr>
        <w:ind w:left="2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95,374</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95,374</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5">
            <w:col w:w="3160" w:space="320"/>
            <w:col w:w="1060" w:space="200"/>
            <w:col w:w="1060" w:space="320"/>
            <w:col w:w="1160" w:space="200"/>
            <w:col w:w="2739"/>
          </w:cols>
          <w:pgMar w:left="240" w:top="717" w:right="1440" w:bottom="0" w:gutter="0" w:footer="0" w:header="0"/>
          <w:type w:val="continuous"/>
        </w:sectPr>
      </w:pPr>
    </w:p>
    <w:p>
      <w:pPr>
        <w:spacing w:after="0" w:line="209"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The charge-offs reflected in the above table were recorded prior to the effective date of the Initial Public Offering and are related to one borrower.</w:t>
      </w:r>
    </w:p>
    <w:p>
      <w:pPr>
        <w:sectPr>
          <w:pgSz w:w="11900" w:h="16838" w:orient="portrait"/>
          <w:cols w:equalWidth="0" w:num="1">
            <w:col w:w="10219"/>
          </w:cols>
          <w:pgMar w:left="240" w:top="717" w:right="1440" w:bottom="0" w:gutter="0" w:footer="0" w:header="0"/>
          <w:type w:val="continuous"/>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There was no allowance for finance receivable losses in 1993.</w:t>
      </w:r>
    </w:p>
    <w:p>
      <w:pPr>
        <w:sectPr>
          <w:pgSz w:w="11900" w:h="16838" w:orient="portrait"/>
          <w:cols w:equalWidth="0" w:num="1">
            <w:col w:w="9999"/>
          </w:cols>
          <w:pgMar w:left="460" w:top="142" w:right="1440" w:bottom="1440" w:gutter="0" w:footer="0" w:header="0"/>
        </w:sectPr>
      </w:pPr>
    </w:p>
    <w:p>
      <w:pPr>
        <w:spacing w:after="0" w:line="22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9999"/>
          </w:cols>
          <w:pgMar w:left="460" w:top="142" w:right="1440" w:bottom="1440" w:gutter="0" w:footer="0" w:header="0"/>
          <w:type w:val="continuous"/>
        </w:sectPr>
      </w:pPr>
    </w:p>
    <w:bookmarkStart w:id="126" w:name="page127"/>
    <w:bookmarkEnd w:id="126"/>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REVERSE-REPURCHASE AGREEMENTS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IMH enters into reverse-repurchase agreements with major brokerage firms for its mortgage warehouse lending operations and to fund the purchase of mortgage loans and mortgage-backed securities. Mortgage loans underlying certain of the agreements are delivered to the dealers that arrange the transactions. The following tables present information regarding reverse-repurchase agreements:</w:t>
      </w: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MARCH</w:t>
            </w:r>
          </w:p>
        </w:tc>
        <w:tc>
          <w:tcPr>
            <w:tcW w:w="29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9"/>
              </w:rPr>
              <w:t>31, 1996 (UNAUDITED)</w:t>
            </w:r>
          </w:p>
        </w:tc>
      </w:tr>
      <w:tr>
        <w:trPr>
          <w:trHeight w:val="203"/>
        </w:trPr>
        <w:tc>
          <w:tcPr>
            <w:tcW w:w="3640" w:type="dxa"/>
            <w:vAlign w:val="bottom"/>
          </w:tcPr>
          <w:p>
            <w:pPr>
              <w:spacing w:after="0"/>
              <w:rPr>
                <w:sz w:val="17"/>
                <w:szCs w:val="17"/>
                <w:color w:val="auto"/>
              </w:rPr>
            </w:pPr>
          </w:p>
        </w:tc>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64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REVERSE</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REPURCHASE</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UNDERLYING</w:t>
            </w:r>
          </w:p>
        </w:tc>
        <w:tc>
          <w:tcPr>
            <w:tcW w:w="152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UNDERLYING COLLATERAL</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LIABILITY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COLLATERAL</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MATURITY DATE</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Paine Webber:</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Mortgage loans..................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$309,695,709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$310,019,647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30, 1996</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Mortgage loans..................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199,812,859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200,021,861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30, 1996</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Salomon Brothers: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MBS Salomon 1995-A..............</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5,523,877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April 4, 1996</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 and Jenrette</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ind w:right="2812"/>
              <w:spacing w:after="0" w:line="203" w:lineRule="exact"/>
              <w:rPr>
                <w:sz w:val="20"/>
                <w:szCs w:val="20"/>
                <w:color w:val="auto"/>
              </w:rPr>
            </w:pPr>
            <w:r>
              <w:rPr>
                <w:rFonts w:ascii="Courier New" w:cs="Courier New" w:eastAsia="Courier New" w:hAnsi="Courier New"/>
                <w:sz w:val="18"/>
                <w:szCs w:val="18"/>
                <w:color w:val="auto"/>
              </w:rPr>
              <w:t>(DLJ):</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MBS DLJ:</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1995-4 B-1....................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3,678,061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29, 1996</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1995-4 B-2....................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1,595,586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29, 1996</w:t>
            </w: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1995-Q6 B-1...................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6,437,327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15, 1996</w:t>
            </w:r>
          </w:p>
        </w:tc>
      </w:tr>
      <w:tr>
        <w:trPr>
          <w:trHeight w:val="203"/>
        </w:trPr>
        <w:tc>
          <w:tcPr>
            <w:tcW w:w="3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7,786,000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11,710,974</w:t>
            </w:r>
          </w:p>
        </w:tc>
        <w:tc>
          <w:tcPr>
            <w:tcW w:w="152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MBS Bear Stearns 1996-1 X1......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8,570,941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1, 1996</w:t>
            </w:r>
          </w:p>
        </w:tc>
      </w:tr>
      <w:tr>
        <w:trPr>
          <w:trHeight w:val="203"/>
        </w:trPr>
        <w:tc>
          <w:tcPr>
            <w:tcW w:w="3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$528,745,568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$535,847,300</w:t>
            </w:r>
          </w:p>
        </w:tc>
        <w:tc>
          <w:tcPr>
            <w:tcW w:w="15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320" w:right="760"/>
        <w:spacing w:after="0" w:line="290" w:lineRule="auto"/>
        <w:rPr>
          <w:sz w:val="20"/>
          <w:szCs w:val="20"/>
          <w:color w:val="auto"/>
        </w:rPr>
      </w:pPr>
      <w:r>
        <w:rPr>
          <w:rFonts w:ascii="Courier New" w:cs="Courier New" w:eastAsia="Courier New" w:hAnsi="Courier New"/>
          <w:sz w:val="16"/>
          <w:szCs w:val="16"/>
          <w:color w:val="auto"/>
        </w:rPr>
        <w:t>UNDERLYING COLLATERAL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DECEMBER 31,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REVERSE</w:t>
      </w:r>
    </w:p>
    <w:p>
      <w:pPr>
        <w:ind w:left="100"/>
        <w:spacing w:after="0" w:line="238" w:lineRule="auto"/>
        <w:tabs>
          <w:tab w:leader="none" w:pos="1440" w:val="left"/>
        </w:tabs>
        <w:rPr>
          <w:sz w:val="20"/>
          <w:szCs w:val="20"/>
          <w:color w:val="auto"/>
        </w:rPr>
      </w:pPr>
      <w:r>
        <w:rPr>
          <w:rFonts w:ascii="Courier New" w:cs="Courier New" w:eastAsia="Courier New" w:hAnsi="Courier New"/>
          <w:sz w:val="18"/>
          <w:szCs w:val="18"/>
          <w:color w:val="auto"/>
        </w:rPr>
        <w:t>REPURCHASE</w:t>
      </w:r>
      <w:r>
        <w:rPr>
          <w:sz w:val="20"/>
          <w:szCs w:val="20"/>
          <w:color w:val="auto"/>
        </w:rPr>
        <w:tab/>
      </w:r>
      <w:r>
        <w:rPr>
          <w:rFonts w:ascii="Courier New" w:cs="Courier New" w:eastAsia="Courier New" w:hAnsi="Courier New"/>
          <w:sz w:val="18"/>
          <w:szCs w:val="18"/>
          <w:color w:val="auto"/>
        </w:rPr>
        <w:t>UNDERLYING</w:t>
      </w:r>
    </w:p>
    <w:p>
      <w:pPr>
        <w:ind w:left="100"/>
        <w:spacing w:after="0"/>
        <w:tabs>
          <w:tab w:leader="none" w:pos="1440" w:val="left"/>
          <w:tab w:leader="none" w:pos="2820" w:val="left"/>
        </w:tabs>
        <w:rPr>
          <w:sz w:val="20"/>
          <w:szCs w:val="20"/>
          <w:color w:val="auto"/>
        </w:rPr>
      </w:pPr>
      <w:r>
        <w:rPr>
          <w:rFonts w:ascii="Courier New" w:cs="Courier New" w:eastAsia="Courier New" w:hAnsi="Courier New"/>
          <w:sz w:val="18"/>
          <w:szCs w:val="18"/>
          <w:color w:val="auto"/>
        </w:rPr>
        <w:t>LIABILITY</w:t>
      </w:r>
      <w:r>
        <w:rPr>
          <w:sz w:val="20"/>
          <w:szCs w:val="20"/>
          <w:color w:val="auto"/>
        </w:rPr>
        <w:tab/>
      </w:r>
      <w:r>
        <w:rPr>
          <w:rFonts w:ascii="Courier New" w:cs="Courier New" w:eastAsia="Courier New" w:hAnsi="Courier New"/>
          <w:sz w:val="18"/>
          <w:szCs w:val="18"/>
          <w:color w:val="auto"/>
        </w:rPr>
        <w:t>COLLATERAL</w:t>
      </w:r>
      <w:r>
        <w:rPr>
          <w:sz w:val="20"/>
          <w:szCs w:val="20"/>
          <w:color w:val="auto"/>
        </w:rPr>
        <w:tab/>
      </w:r>
      <w:r>
        <w:rPr>
          <w:rFonts w:ascii="Courier New" w:cs="Courier New" w:eastAsia="Courier New" w:hAnsi="Courier New"/>
          <w:sz w:val="16"/>
          <w:szCs w:val="16"/>
          <w:color w:val="auto"/>
        </w:rPr>
        <w:t>MATURITY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24" w:lineRule="exact"/>
        <w:rPr>
          <w:sz w:val="20"/>
          <w:szCs w:val="20"/>
          <w:color w:val="auto"/>
        </w:rPr>
      </w:pPr>
    </w:p>
    <w:p>
      <w:pPr>
        <w:sectPr>
          <w:pgSz w:w="11900" w:h="16838" w:orient="portrait"/>
          <w:cols w:equalWidth="0" w:num="2">
            <w:col w:w="3300" w:space="720"/>
            <w:col w:w="6199"/>
          </w:cols>
          <w:pgMar w:left="240" w:top="717" w:right="1440" w:bottom="0" w:gutter="0" w:footer="0" w:header="0"/>
          <w:type w:val="continuous"/>
        </w:sectPr>
      </w:pPr>
    </w:p>
    <w:p>
      <w:pPr>
        <w:jc w:val="right"/>
        <w:ind w:right="8519"/>
        <w:spacing w:after="0"/>
        <w:rPr>
          <w:sz w:val="20"/>
          <w:szCs w:val="20"/>
          <w:color w:val="auto"/>
        </w:rPr>
      </w:pPr>
      <w:r>
        <w:rPr>
          <w:rFonts w:ascii="Courier New" w:cs="Courier New" w:eastAsia="Courier New" w:hAnsi="Courier New"/>
          <w:sz w:val="16"/>
          <w:szCs w:val="16"/>
          <w:color w:val="auto"/>
        </w:rPr>
        <w:t>Paine Webber:</w:t>
      </w:r>
    </w:p>
    <w:p>
      <w:pPr>
        <w:spacing w:after="0" w:line="16" w:lineRule="exact"/>
        <w:rPr>
          <w:sz w:val="20"/>
          <w:szCs w:val="20"/>
          <w:color w:val="auto"/>
        </w:rPr>
      </w:pPr>
    </w:p>
    <w:p>
      <w:pPr>
        <w:jc w:val="right"/>
        <w:ind w:right="1779"/>
        <w:spacing w:after="0"/>
        <w:tabs>
          <w:tab w:leader="none" w:pos="1560" w:val="left"/>
        </w:tabs>
        <w:rPr>
          <w:sz w:val="20"/>
          <w:szCs w:val="20"/>
          <w:color w:val="auto"/>
        </w:rPr>
      </w:pPr>
      <w:r>
        <w:rPr>
          <w:rFonts w:ascii="Courier New" w:cs="Courier New" w:eastAsia="Courier New" w:hAnsi="Courier New"/>
          <w:sz w:val="18"/>
          <w:szCs w:val="18"/>
          <w:color w:val="auto"/>
        </w:rPr>
        <w:t>Mortgage loans.................. $239,628,464 $251,423,244</w:t>
      </w:r>
      <w:r>
        <w:rPr>
          <w:sz w:val="20"/>
          <w:szCs w:val="20"/>
          <w:color w:val="auto"/>
        </w:rPr>
        <w:tab/>
      </w:r>
      <w:r>
        <w:rPr>
          <w:rFonts w:ascii="Courier New" w:cs="Courier New" w:eastAsia="Courier New" w:hAnsi="Courier New"/>
          <w:sz w:val="16"/>
          <w:szCs w:val="16"/>
          <w:color w:val="auto"/>
        </w:rPr>
        <w:t>January 8, 1996</w:t>
      </w:r>
    </w:p>
    <w:p>
      <w:pPr>
        <w:spacing w:after="0" w:line="4" w:lineRule="exact"/>
        <w:rPr>
          <w:sz w:val="20"/>
          <w:szCs w:val="20"/>
          <w:color w:val="auto"/>
        </w:rPr>
      </w:pPr>
    </w:p>
    <w:p>
      <w:pPr>
        <w:jc w:val="right"/>
        <w:ind w:right="8419"/>
        <w:spacing w:after="0"/>
        <w:rPr>
          <w:sz w:val="20"/>
          <w:szCs w:val="20"/>
          <w:color w:val="auto"/>
        </w:rPr>
      </w:pPr>
      <w:r>
        <w:rPr>
          <w:rFonts w:ascii="Courier New" w:cs="Courier New" w:eastAsia="Courier New" w:hAnsi="Courier New"/>
          <w:sz w:val="16"/>
          <w:szCs w:val="16"/>
          <w:color w:val="auto"/>
        </w:rPr>
        <w:t>Merrill Lynch:</w:t>
      </w:r>
    </w:p>
    <w:p>
      <w:pPr>
        <w:spacing w:after="0" w:line="16" w:lineRule="exact"/>
        <w:rPr>
          <w:sz w:val="20"/>
          <w:szCs w:val="20"/>
          <w:color w:val="auto"/>
        </w:rPr>
      </w:pPr>
    </w:p>
    <w:p>
      <w:pPr>
        <w:jc w:val="right"/>
        <w:ind w:right="1779"/>
        <w:spacing w:after="0"/>
        <w:tabs>
          <w:tab w:leader="none" w:pos="4300" w:val="left"/>
          <w:tab w:leader="none" w:pos="2940" w:val="left"/>
        </w:tabs>
        <w:rPr>
          <w:sz w:val="20"/>
          <w:szCs w:val="20"/>
          <w:color w:val="auto"/>
        </w:rPr>
      </w:pPr>
      <w:r>
        <w:rPr>
          <w:rFonts w:ascii="Courier New" w:cs="Courier New" w:eastAsia="Courier New" w:hAnsi="Courier New"/>
          <w:sz w:val="18"/>
          <w:szCs w:val="18"/>
          <w:color w:val="auto"/>
        </w:rPr>
        <w:t>Mortgage loans..................</w:t>
        <w:tab/>
        <w:t>323,180,005</w:t>
      </w:r>
      <w:r>
        <w:rPr>
          <w:sz w:val="20"/>
          <w:szCs w:val="20"/>
          <w:color w:val="auto"/>
        </w:rPr>
        <w:tab/>
      </w:r>
      <w:r>
        <w:rPr>
          <w:rFonts w:ascii="Courier New" w:cs="Courier New" w:eastAsia="Courier New" w:hAnsi="Courier New"/>
          <w:sz w:val="16"/>
          <w:szCs w:val="16"/>
          <w:color w:val="auto"/>
        </w:rPr>
        <w:t>332,660,022 January 25, 1996</w:t>
      </w:r>
    </w:p>
    <w:p>
      <w:pPr>
        <w:spacing w:after="0" w:line="4" w:lineRule="exact"/>
        <w:rPr>
          <w:sz w:val="20"/>
          <w:szCs w:val="20"/>
          <w:color w:val="auto"/>
        </w:rPr>
      </w:pPr>
    </w:p>
    <w:p>
      <w:pPr>
        <w:jc w:val="right"/>
        <w:ind w:right="8099"/>
        <w:spacing w:after="0"/>
        <w:rPr>
          <w:sz w:val="20"/>
          <w:szCs w:val="20"/>
          <w:color w:val="auto"/>
        </w:rPr>
      </w:pPr>
      <w:r>
        <w:rPr>
          <w:rFonts w:ascii="Courier New" w:cs="Courier New" w:eastAsia="Courier New" w:hAnsi="Courier New"/>
          <w:sz w:val="16"/>
          <w:szCs w:val="16"/>
          <w:color w:val="auto"/>
        </w:rPr>
        <w:t>Salomon Brothers:</w:t>
      </w:r>
    </w:p>
    <w:p>
      <w:pPr>
        <w:spacing w:after="0" w:line="16" w:lineRule="exact"/>
        <w:rPr>
          <w:sz w:val="20"/>
          <w:szCs w:val="20"/>
          <w:color w:val="auto"/>
        </w:rPr>
      </w:pPr>
    </w:p>
    <w:p>
      <w:pPr>
        <w:jc w:val="right"/>
        <w:ind w:right="1779"/>
        <w:spacing w:after="0"/>
        <w:tabs>
          <w:tab w:leader="none" w:pos="4100" w:val="left"/>
          <w:tab w:leader="none" w:pos="2720" w:val="left"/>
          <w:tab w:leader="none" w:pos="1560" w:val="left"/>
        </w:tabs>
        <w:rPr>
          <w:sz w:val="20"/>
          <w:szCs w:val="20"/>
          <w:color w:val="auto"/>
        </w:rPr>
      </w:pPr>
      <w:r>
        <w:rPr>
          <w:rFonts w:ascii="Courier New" w:cs="Courier New" w:eastAsia="Courier New" w:hAnsi="Courier New"/>
          <w:sz w:val="18"/>
          <w:szCs w:val="18"/>
          <w:color w:val="auto"/>
        </w:rPr>
        <w:t>MBS Salomon 1995-A..............</w:t>
      </w:r>
      <w:r>
        <w:rPr>
          <w:sz w:val="20"/>
          <w:szCs w:val="20"/>
          <w:color w:val="auto"/>
        </w:rPr>
        <w:tab/>
      </w:r>
      <w:r>
        <w:rPr>
          <w:rFonts w:ascii="Courier New" w:cs="Courier New" w:eastAsia="Courier New" w:hAnsi="Courier New"/>
          <w:sz w:val="18"/>
          <w:szCs w:val="18"/>
          <w:color w:val="auto"/>
        </w:rPr>
        <w:t>4,918,892</w:t>
      </w:r>
      <w:r>
        <w:rPr>
          <w:sz w:val="20"/>
          <w:szCs w:val="20"/>
          <w:color w:val="auto"/>
        </w:rPr>
        <w:tab/>
      </w:r>
      <w:r>
        <w:rPr>
          <w:rFonts w:ascii="Courier New" w:cs="Courier New" w:eastAsia="Courier New" w:hAnsi="Courier New"/>
          <w:sz w:val="18"/>
          <w:szCs w:val="18"/>
          <w:color w:val="auto"/>
        </w:rPr>
        <w:t>5,406,654</w:t>
      </w:r>
      <w:r>
        <w:rPr>
          <w:sz w:val="20"/>
          <w:szCs w:val="20"/>
          <w:color w:val="auto"/>
        </w:rPr>
        <w:tab/>
      </w:r>
      <w:r>
        <w:rPr>
          <w:rFonts w:ascii="Courier New" w:cs="Courier New" w:eastAsia="Courier New" w:hAnsi="Courier New"/>
          <w:sz w:val="16"/>
          <w:szCs w:val="16"/>
          <w:color w:val="auto"/>
        </w:rPr>
        <w:t>January 5, 1996</w:t>
      </w:r>
    </w:p>
    <w:p>
      <w:pPr>
        <w:jc w:val="right"/>
        <w:ind w:right="3579"/>
        <w:spacing w:after="0" w:line="238" w:lineRule="auto"/>
        <w:rPr>
          <w:sz w:val="20"/>
          <w:szCs w:val="20"/>
          <w:color w:val="auto"/>
        </w:rPr>
      </w:pPr>
      <w:r>
        <w:rPr>
          <w:rFonts w:ascii="Courier New" w:cs="Courier New" w:eastAsia="Courier New" w:hAnsi="Courier New"/>
          <w:sz w:val="18"/>
          <w:szCs w:val="18"/>
          <w:color w:val="auto"/>
        </w:rPr>
        <w:t>------------ ------------</w:t>
      </w:r>
    </w:p>
    <w:p>
      <w:pPr>
        <w:jc w:val="right"/>
        <w:ind w:right="3579"/>
        <w:spacing w:after="0"/>
        <w:rPr>
          <w:sz w:val="20"/>
          <w:szCs w:val="20"/>
          <w:color w:val="auto"/>
        </w:rPr>
      </w:pPr>
      <w:r>
        <w:rPr>
          <w:rFonts w:ascii="Courier New" w:cs="Courier New" w:eastAsia="Courier New" w:hAnsi="Courier New"/>
          <w:sz w:val="18"/>
          <w:szCs w:val="18"/>
          <w:color w:val="auto"/>
        </w:rPr>
        <w:t>Total....................... $567,727,361 $589,489,920</w:t>
      </w:r>
    </w:p>
    <w:p>
      <w:pPr>
        <w:jc w:val="right"/>
        <w:ind w:right="3579"/>
        <w:spacing w:after="0" w:line="237"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 were no reverse-repurchase agreements at December 31, 1994.</w:t>
      </w:r>
    </w:p>
    <w:p>
      <w:pPr>
        <w:spacing w:after="0" w:line="207" w:lineRule="exact"/>
        <w:rPr>
          <w:sz w:val="20"/>
          <w:szCs w:val="20"/>
          <w:color w:val="auto"/>
        </w:rPr>
      </w:pPr>
    </w:p>
    <w:p>
      <w:pPr>
        <w:jc w:val="both"/>
        <w:ind w:right="2519" w:firstLine="211"/>
        <w:spacing w:after="0" w:line="236" w:lineRule="auto"/>
        <w:rPr>
          <w:sz w:val="20"/>
          <w:szCs w:val="20"/>
          <w:color w:val="auto"/>
        </w:rPr>
      </w:pPr>
      <w:r>
        <w:rPr>
          <w:rFonts w:ascii="Courier New" w:cs="Courier New" w:eastAsia="Courier New" w:hAnsi="Courier New"/>
          <w:sz w:val="18"/>
          <w:szCs w:val="18"/>
          <w:color w:val="auto"/>
        </w:rPr>
        <w:t>At March 31, 1996 (unaudited) and December 31, 1995, reverse-repurchase liability includes accrued interest payable of $1,085,792 and $1,075,511, respectively.</w:t>
      </w:r>
    </w:p>
    <w:p>
      <w:pPr>
        <w:spacing w:after="0" w:line="200" w:lineRule="exact"/>
        <w:rPr>
          <w:sz w:val="20"/>
          <w:szCs w:val="20"/>
          <w:color w:val="auto"/>
        </w:rPr>
      </w:pPr>
    </w:p>
    <w:p>
      <w:pPr>
        <w:spacing w:after="0" w:line="211"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following table presents certain information on reverse-repurchase agreements, excluding accrued interest payable:</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480"/>
        <w:spacing w:after="0"/>
        <w:rPr>
          <w:sz w:val="20"/>
          <w:szCs w:val="20"/>
          <w:color w:val="auto"/>
        </w:rPr>
      </w:pPr>
      <w:r>
        <w:rPr>
          <w:rFonts w:ascii="Courier New" w:cs="Courier New" w:eastAsia="Courier New" w:hAnsi="Courier New"/>
          <w:sz w:val="18"/>
          <w:szCs w:val="18"/>
          <w:color w:val="auto"/>
        </w:rPr>
        <w:t>MARCH 31,</w:t>
      </w:r>
    </w:p>
    <w:p>
      <w:pPr>
        <w:jc w:val="center"/>
        <w:ind w:left="5600"/>
        <w:spacing w:after="0" w:line="238" w:lineRule="auto"/>
        <w:rPr>
          <w:sz w:val="20"/>
          <w:szCs w:val="20"/>
          <w:color w:val="auto"/>
        </w:rPr>
      </w:pPr>
      <w:r>
        <w:rPr>
          <w:rFonts w:ascii="Courier New" w:cs="Courier New" w:eastAsia="Courier New" w:hAnsi="Courier New"/>
          <w:sz w:val="18"/>
          <w:szCs w:val="18"/>
          <w:color w:val="auto"/>
        </w:rPr>
        <w:t>1996</w:t>
      </w:r>
    </w:p>
    <w:p>
      <w:pPr>
        <w:spacing w:after="0" w:line="5" w:lineRule="exact"/>
        <w:rPr>
          <w:sz w:val="20"/>
          <w:szCs w:val="20"/>
          <w:color w:val="auto"/>
        </w:rPr>
      </w:pPr>
    </w:p>
    <w:p>
      <w:pPr>
        <w:jc w:val="center"/>
        <w:ind w:left="5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1995</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860" w:space="200"/>
            <w:col w:w="3159"/>
          </w:cols>
          <w:pgMar w:left="240" w:top="717" w:right="144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9"/>
              </w:rPr>
              <w:t>(UNAUDITED)</w:t>
            </w:r>
          </w:p>
        </w:tc>
        <w:tc>
          <w:tcPr>
            <w:tcW w:w="1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Maximum</w:t>
            </w:r>
          </w:p>
        </w:tc>
        <w:tc>
          <w:tcPr>
            <w:tcW w:w="4420" w:type="dxa"/>
            <w:vAlign w:val="bottom"/>
          </w:tcPr>
          <w:p>
            <w:pPr>
              <w:jc w:val="right"/>
              <w:spacing w:after="0"/>
              <w:rPr>
                <w:sz w:val="20"/>
                <w:szCs w:val="20"/>
                <w:color w:val="auto"/>
              </w:rPr>
            </w:pPr>
            <w:r>
              <w:rPr>
                <w:rFonts w:ascii="Courier New" w:cs="Courier New" w:eastAsia="Courier New" w:hAnsi="Courier New"/>
                <w:sz w:val="18"/>
                <w:szCs w:val="18"/>
                <w:color w:val="auto"/>
                <w:w w:val="98"/>
              </w:rPr>
              <w:t>Month-End Outstanding Balance............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$634,209,986</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$566,651,850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4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Balance Outstanding......................</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571,018,235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59,000,000</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Rate............................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w:t>
            </w:r>
          </w:p>
        </w:tc>
      </w:tr>
      <w:tr>
        <w:trPr>
          <w:trHeight w:val="608"/>
        </w:trPr>
        <w:tc>
          <w:tcPr>
            <w:tcW w:w="800" w:type="dxa"/>
            <w:vAlign w:val="bottom"/>
          </w:tcPr>
          <w:p>
            <w:pPr>
              <w:spacing w:after="0"/>
              <w:rPr>
                <w:sz w:val="24"/>
                <w:szCs w:val="24"/>
                <w:color w:val="auto"/>
              </w:rPr>
            </w:pPr>
          </w:p>
        </w:tc>
        <w:tc>
          <w:tcPr>
            <w:tcW w:w="44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F-15</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9899"/>
          </w:cols>
          <w:pgMar w:left="560" w:top="136" w:right="1440" w:bottom="1440" w:gutter="0" w:footer="0" w:header="0"/>
        </w:sectPr>
      </w:pPr>
    </w:p>
    <w:bookmarkStart w:id="128" w:name="page129"/>
    <w:bookmarkEnd w:id="128"/>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maximum amount available under the reverse-repurchase agreement at March 31, 1996 (unaudited) and December 31, 1995 is $623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INCOME TAXES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Company, as a qualified REIT for the period from November 20, 1995 to December 31, 1995 is not subject to income taxes. The Company's income taxes (benefit) for the periods it was not a REIT follow: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Federal........................................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$36,951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$177,135</w:t>
            </w: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57,978</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235,113</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Federal........................................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26,257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w:t>
            </w: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(10,273)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deferred...............................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income taxes (benefit).....................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$75,849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$233,401</w:t>
            </w:r>
          </w:p>
        </w:tc>
      </w:tr>
      <w:tr>
        <w:trPr>
          <w:trHeight w:val="203"/>
        </w:trPr>
        <w:tc>
          <w:tcPr>
            <w:tcW w:w="5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income tax provision prior to the formation of the Company as a REIT differs from statutory Federal corporate income tax rate primarily due to state income taxes and equity in earnings of ICIFC.</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Deferred income taxes arise from differences in the bases of assets and liabilities for tax and financial reporting purposes. The following table shows the primary components of the IWLG's net deferred taxes at December 31, 1994: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9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900" w:type="dxa"/>
            <w:vAlign w:val="bottom"/>
          </w:tcPr>
          <w:p>
            <w:pPr>
              <w:spacing w:after="0"/>
              <w:rPr>
                <w:sz w:val="17"/>
                <w:szCs w:val="17"/>
                <w:color w:val="auto"/>
              </w:rPr>
            </w:pP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Allowance for finance receivable losses........................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$40,057</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3,597</w:t>
            </w:r>
          </w:p>
        </w:tc>
      </w:tr>
      <w:tr>
        <w:trPr>
          <w:trHeight w:val="203"/>
        </w:trPr>
        <w:tc>
          <w:tcPr>
            <w:tcW w:w="69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43,654</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 net of valuation allowance................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43,654</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900" w:type="dxa"/>
            <w:vAlign w:val="bottom"/>
          </w:tcPr>
          <w:p>
            <w:pPr>
              <w:spacing w:after="0"/>
              <w:rPr>
                <w:sz w:val="17"/>
                <w:szCs w:val="17"/>
                <w:color w:val="auto"/>
              </w:rPr>
            </w:pP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taxes....................................................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(2,701)</w:t>
            </w:r>
          </w:p>
        </w:tc>
      </w:tr>
      <w:tr>
        <w:trPr>
          <w:trHeight w:val="203"/>
        </w:trPr>
        <w:tc>
          <w:tcPr>
            <w:tcW w:w="69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(2,701)</w:t>
            </w:r>
          </w:p>
        </w:tc>
      </w:tr>
      <w:tr>
        <w:trPr>
          <w:trHeight w:val="203"/>
        </w:trPr>
        <w:tc>
          <w:tcPr>
            <w:tcW w:w="69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deferred tax assets (included in borrowings from SPTL).......</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$40,953</w:t>
            </w:r>
          </w:p>
        </w:tc>
      </w:tr>
      <w:tr>
        <w:trPr>
          <w:trHeight w:val="203"/>
        </w:trPr>
        <w:tc>
          <w:tcPr>
            <w:tcW w:w="69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 had no deferred taxes at December 31, 1995.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assessing the realizability of deferred tax assets, management considers whether it is more likely than not that some portion or all of the deferred tax assets will not be realized. Management considers the scheduled reversal of deferred tax liabilities and available tax carrybacks in making this assessment. Based upon the schedule of reversals and available tax carrybacks, management believes it is more likely than not the Company will realize the benefits of the deferred tax assets. All deferred tax balances were transferred to ICII on November 20, 1995 as part of the Contribution Transaction.</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159" w:gutter="0" w:footer="0" w:header="0"/>
        </w:sectPr>
      </w:pPr>
    </w:p>
    <w:bookmarkStart w:id="129" w:name="page130"/>
    <w:bookmarkEnd w:id="129"/>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DISCLOSURES ABOUT FAIR VALUE OF FINANCIAL INSTRUMENTS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disclosure of the estimated fair value of financial instruments as of December 31, 1995 is made in accordance with the requirements of Statement of Financial Accounting Standards (SFAS) No. 107, Disclosures About Fair Value of Financial Instruments, and SFAS No. 119, Disclosures About Derivative Financial Instruments and Fair Value of Financial Instruments. The estimated fair value amounts have been determined by IMH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IMH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DECEMBER 31, 1995</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CARRYING ESTIMATED</w:t>
      </w:r>
    </w:p>
    <w:p>
      <w:pPr>
        <w:spacing w:after="0" w:line="4" w:lineRule="exact"/>
        <w:rPr>
          <w:sz w:val="20"/>
          <w:szCs w:val="20"/>
          <w:color w:val="auto"/>
        </w:rPr>
      </w:pPr>
    </w:p>
    <w:p>
      <w:pPr>
        <w:ind w:left="6440"/>
        <w:spacing w:after="0"/>
        <w:tabs>
          <w:tab w:leader="none" w:pos="7260" w:val="left"/>
        </w:tabs>
        <w:rPr>
          <w:sz w:val="20"/>
          <w:szCs w:val="20"/>
          <w:color w:val="auto"/>
        </w:rPr>
      </w:pPr>
      <w:r>
        <w:rPr>
          <w:rFonts w:ascii="Courier New" w:cs="Courier New" w:eastAsia="Courier New" w:hAnsi="Courier New"/>
          <w:sz w:val="16"/>
          <w:szCs w:val="16"/>
          <w:color w:val="auto"/>
        </w:rPr>
        <w:t>AMOUNT</w:t>
        <w:tab/>
        <w:t>FAIR VALUE</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717" w:right="1440" w:bottom="767" w:gutter="0" w:footer="0" w:header="0"/>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Assets: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and cash equivalents.............................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 securities available-for-sale..............</w:t>
      </w:r>
    </w:p>
    <w:p>
      <w:pPr>
        <w:ind w:left="540"/>
        <w:spacing w:after="0" w:line="238" w:lineRule="auto"/>
        <w:rPr>
          <w:sz w:val="20"/>
          <w:szCs w:val="20"/>
          <w:color w:val="auto"/>
        </w:rPr>
      </w:pPr>
      <w:r>
        <w:rPr>
          <w:rFonts w:ascii="Courier New" w:cs="Courier New" w:eastAsia="Courier New" w:hAnsi="Courier New"/>
          <w:sz w:val="18"/>
          <w:szCs w:val="18"/>
          <w:color w:val="auto"/>
        </w:rPr>
        <w:t>Finance receivables...................................</w:t>
      </w:r>
    </w:p>
    <w:p>
      <w:pPr>
        <w:ind w:left="540"/>
        <w:spacing w:after="0"/>
        <w:rPr>
          <w:sz w:val="20"/>
          <w:szCs w:val="20"/>
          <w:color w:val="auto"/>
        </w:rPr>
      </w:pPr>
      <w:r>
        <w:rPr>
          <w:rFonts w:ascii="Courier New" w:cs="Courier New" w:eastAsia="Courier New" w:hAnsi="Courier New"/>
          <w:sz w:val="18"/>
          <w:szCs w:val="18"/>
          <w:color w:val="auto"/>
        </w:rPr>
        <w:t>Lease payment receivables held for sale...............</w:t>
      </w:r>
    </w:p>
    <w:p>
      <w:pPr>
        <w:ind w:left="320"/>
        <w:spacing w:after="0" w:line="237" w:lineRule="auto"/>
        <w:rPr>
          <w:sz w:val="20"/>
          <w:szCs w:val="20"/>
          <w:color w:val="auto"/>
        </w:rPr>
      </w:pPr>
      <w:r>
        <w:rPr>
          <w:rFonts w:ascii="Courier New" w:cs="Courier New" w:eastAsia="Courier New" w:hAnsi="Courier New"/>
          <w:sz w:val="18"/>
          <w:szCs w:val="18"/>
          <w:color w:val="auto"/>
        </w:rPr>
        <w:t>Liabilities:</w:t>
      </w:r>
    </w:p>
    <w:p>
      <w:pPr>
        <w:ind w:left="540"/>
        <w:spacing w:after="0" w:line="238" w:lineRule="auto"/>
        <w:rPr>
          <w:sz w:val="20"/>
          <w:szCs w:val="20"/>
          <w:color w:val="auto"/>
        </w:rPr>
      </w:pPr>
      <w:r>
        <w:rPr>
          <w:rFonts w:ascii="Courier New" w:cs="Courier New" w:eastAsia="Courier New" w:hAnsi="Courier New"/>
          <w:sz w:val="18"/>
          <w:szCs w:val="18"/>
          <w:color w:val="auto"/>
        </w:rPr>
        <w:t>Reverse-repurchase agreements, net of accrued</w:t>
      </w:r>
    </w:p>
    <w:p>
      <w:pPr>
        <w:ind w:left="640"/>
        <w:spacing w:after="0"/>
        <w:rPr>
          <w:sz w:val="20"/>
          <w:szCs w:val="20"/>
          <w:color w:val="auto"/>
        </w:rPr>
      </w:pPr>
      <w:r>
        <w:rPr>
          <w:rFonts w:ascii="Courier New" w:cs="Courier New" w:eastAsia="Courier New" w:hAnsi="Courier New"/>
          <w:sz w:val="18"/>
          <w:szCs w:val="18"/>
          <w:color w:val="auto"/>
        </w:rPr>
        <w:t>interest.............................................</w:t>
      </w:r>
    </w:p>
    <w:p>
      <w:pPr>
        <w:ind w:left="540"/>
        <w:spacing w:after="0" w:line="237" w:lineRule="auto"/>
        <w:rPr>
          <w:sz w:val="20"/>
          <w:szCs w:val="20"/>
          <w:color w:val="auto"/>
        </w:rPr>
      </w:pPr>
      <w:r>
        <w:rPr>
          <w:rFonts w:ascii="Courier New" w:cs="Courier New" w:eastAsia="Courier New" w:hAnsi="Courier New"/>
          <w:sz w:val="18"/>
          <w:szCs w:val="18"/>
          <w:color w:val="auto"/>
        </w:rPr>
        <w:t>Off balance-sheet unrealized gains (losses):</w:t>
      </w:r>
    </w:p>
    <w:p>
      <w:pPr>
        <w:ind w:left="740"/>
        <w:spacing w:after="0"/>
        <w:rPr>
          <w:sz w:val="20"/>
          <w:szCs w:val="20"/>
          <w:color w:val="auto"/>
        </w:rPr>
      </w:pPr>
      <w:r>
        <w:rPr>
          <w:rFonts w:ascii="Courier New" w:cs="Courier New" w:eastAsia="Courier New" w:hAnsi="Courier New"/>
          <w:sz w:val="18"/>
          <w:szCs w:val="18"/>
          <w:color w:val="auto"/>
        </w:rPr>
        <w:t>Short-term commitments</w:t>
      </w:r>
    </w:p>
    <w:p>
      <w:pPr>
        <w:ind w:left="860"/>
        <w:spacing w:after="0" w:line="237" w:lineRule="auto"/>
        <w:rPr>
          <w:sz w:val="20"/>
          <w:szCs w:val="20"/>
          <w:color w:val="auto"/>
        </w:rPr>
      </w:pPr>
      <w:r>
        <w:rPr>
          <w:rFonts w:ascii="Courier New" w:cs="Courier New" w:eastAsia="Courier New" w:hAnsi="Courier New"/>
          <w:sz w:val="18"/>
          <w:szCs w:val="18"/>
          <w:color w:val="auto"/>
        </w:rPr>
        <w:t>to extend credit...................................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2,284</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17,378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582,921</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8,441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566,652</w:t>
      </w: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2,284</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17,378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582,921</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8,441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566,652</w:t>
      </w: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6440" w:space="0"/>
            <w:col w:w="740" w:space="200"/>
            <w:col w:w="100" w:space="0"/>
            <w:col w:w="2739"/>
          </w:cols>
          <w:pgMar w:left="240" w:top="717" w:right="1440" w:bottom="767" w:gutter="0" w:footer="0" w:header="0"/>
          <w:type w:val="continuous"/>
        </w:sectPr>
      </w:pP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fair value estimates as of December 31, 1995 are based on pertinent information available to management as of that date. Although management is not aware of any factors that would significantly affect the estimated fair value amounts, such amounts have not been comprehensively revalued for purposes of these financial statements since those dates and, therefore, current estimates of fair value may differ significantly from the amounts presented herein.</w:t>
      </w:r>
    </w:p>
    <w:p>
      <w:pPr>
        <w:spacing w:after="0" w:line="211"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The following describes the methods and assumptions used by IMH in estimating fair values.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The carrying amount for cash and cash equivalents approximates fair value because these instruments are demand deposits and money market mutual funds and do not present unanticipated interest rate or credit concerns.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INVESTMENT SECURITIES AVAILABLE FOR SALE</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fair value of investment securities is estimated based on quoted market prices from dealers and brokers for similar types of mortgage-backed securities.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FINANCE RECEIVABLES</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fair value approximates the carrying amounts because of the short-term nature of the assets and do not present unanticipated interest rate or credit concerns.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767" w:gutter="0" w:footer="0" w:header="0"/>
          <w:type w:val="continuous"/>
        </w:sectPr>
      </w:pPr>
    </w:p>
    <w:bookmarkStart w:id="130" w:name="page131"/>
    <w:bookmarkEnd w:id="130"/>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LEASE PAYMENT RECEIVABLES HELD FOR SALE</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fair value is estimated by discounting future cash flows using credit and discount rates the Company believes reflect the estimated credit, interest rate and prepayment risks associated with similar types of instruments.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REVERSE-REPURCHASE AGREEMENTS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Fair values approximate the carrying amounts because of the short-term maturity of the liabilities and do not present unanticipated interest rate or credit concerns.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SHORT-TERM COMMITMENTS TO EXTEND CREDIT</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There are no commitment fees associated with IMH's lines of credit extended under the warehouse lending program. Accordingly, these commitments do not have an estimated fair value.</w:t>
      </w:r>
    </w:p>
    <w:p>
      <w:pPr>
        <w:spacing w:after="0" w:line="209" w:lineRule="exact"/>
        <w:rPr>
          <w:sz w:val="20"/>
          <w:szCs w:val="20"/>
          <w:color w:val="auto"/>
        </w:rPr>
      </w:pPr>
    </w:p>
    <w:p>
      <w:pPr>
        <w:ind w:left="120" w:right="6939" w:hanging="112"/>
        <w:spacing w:after="0" w:line="536" w:lineRule="auto"/>
        <w:tabs>
          <w:tab w:leader="none" w:pos="33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PROFIT SHARING AND 401(K) PLAN</w:t>
      </w:r>
    </w:p>
    <w:p>
      <w:pPr>
        <w:spacing w:after="0" w:line="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July 1, 1993, Imperial Bancorp (the primary shareholder of ICII) had a noncontributory profit sharing plan in which employees of the Company were eligible to participate at year end if they had been employed for at least 1,000 hours during the year. For 1993, there was no contribution charged to operations.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Imperial Bancorp also had a 401(k) plan in which all employees of the Company had been eligible to participate. On July 1, 1993, ICII terminated its participation in Imperial Bancorp's 401(k) and profit sharing plans, establishing its own 401(k) plan (the Plan) in which employees of the Company were eligible to participate. On September 30, 1993, Imperial Bancorp transferred all plan assets to ICII.</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ICII's 401(k) plan, employees of the Company may contribute up to 14% of their salaries. The Company will match 50% of the first 4% of employee contributions. An additional Company contribution may be made at the discretion of the Company.</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does not have its own 401(K) or profit sharing plan. As such, employees of the Company participate in ICII's 401(K) plan. The Company's matching and discretionary contributions were not significant for any period presented.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RELATED PARTY TRANSACTIONS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RELATED PARTY COST ALLOCATIONS AND CHARGES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the Contribution Transaction, IWLG was allocated various costs from SPTL and charged for certain ICII services. The costs of these services were not directly attributable to IWLG and primarily include general corporate overhead such as human resources, data processing, professional services, telephone and other communications, and general and administrative expense including a fixed asset user charge. These expenses were allocated or charged based typically on a per employee basis, which management believes is reasonable. Total related party allocations and charges for the period January 1, 1995 through November 19, 1995, for the three months ended March 31, 1995 (unaudited) and for the years ended December 31, 1994, and 1993 were $46,865, $9,465, $56,128 and $52,739, respectively.</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1440" w:gutter="0" w:footer="0" w:header="0"/>
        </w:sectPr>
      </w:pPr>
    </w:p>
    <w:bookmarkStart w:id="131" w:name="page132"/>
    <w:bookmarkEnd w:id="131"/>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Interest income recorded by the Company, related to finance receivables due from ICIFC, was $11,219,048 and $1,348,424 for the three months ended March 31, 1996 (unaudited) and for the year ended December 31, 1995.</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effective date of the Initial Public Offering, IMH entered into a services agreement with ICII under which ICII provides various services to the Company, including data processing, human resource administration, general ledger accounts, check processing, remittance processing and payment of accounts payable. ICII charges fees for each of the services based upon usage. As part of the services provided, ICII provides IWLG with insurance coverage and self insurance programs, including health insurance. The charge to IWLG for coverage is based upon a pro rata portion of the costs to ICII for its various policies. Total charges for the three months ended March 31, 1996 and for the period November 20, 1995 through December 31, 1995 were $17,767 and $4,462, respectively.</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Prior to the Contribution Transaction, IWLG had no cash accounts. All operations were funded directly by SPTL. Adjustments were made to IWLG's financial statements to reflect these fundings as borrowings from SPTL. IWLG did not reflect any accounts receivable or payable on its balance sheet prior to the Contribution Transaction because all transactions of IWLG either increased or decreased its borrowings from SPTL.</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MORTGAGE-BACKED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December 29, 1995, the Company purchased, at market value, from SPTL, DLJ Mortgage Acceptance Corp. Pass-Through Certificates Series 1995-4, Class B-1 and Class B-2 issued August 29, 1995. These certificates consist primarily of a pool of certain conventional, 11th district cost of funds adjustable rate, one-to-four family, first lien mortgage loans, with terms to maturity of not more than 30 years. The mortgage loans underlying the certificates were originated or acquired by ICII. All of the mortgage loans were serviced by ICII in its capacity as master servicer at December 31, 1995. ICII sold the servicing related to these mortgage loans to an unrelated third party during the first quarter of 1996.</w:t>
      </w:r>
    </w:p>
    <w:p>
      <w:pPr>
        <w:spacing w:after="0" w:line="215"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Company purchased the Class B-1 certificates having a current certificate principal balance of $4,822,722 and the Class B-2 certificates having a current certificate principal balance of $2,338,290 for a price of 78.54 and 70.01, respectively, equating to a discount of $1,028,923 and $697,166, respectively.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BULK MORTGAGE LOANS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 March 29, 1996, IMH purchased from ICIFC bulk mortgage loan packages of</w:t>
      </w:r>
    </w:p>
    <w:p>
      <w:pPr>
        <w:spacing w:after="0" w:line="4" w:lineRule="exact"/>
        <w:rPr>
          <w:sz w:val="20"/>
          <w:szCs w:val="20"/>
          <w:color w:val="auto"/>
        </w:rPr>
      </w:pPr>
    </w:p>
    <w:p>
      <w:pPr>
        <w:jc w:val="both"/>
        <w:ind w:right="2419"/>
        <w:spacing w:after="0" w:line="275" w:lineRule="auto"/>
        <w:rPr>
          <w:sz w:val="20"/>
          <w:szCs w:val="20"/>
          <w:color w:val="auto"/>
        </w:rPr>
      </w:pPr>
      <w:r>
        <w:rPr>
          <w:rFonts w:ascii="Courier New" w:cs="Courier New" w:eastAsia="Courier New" w:hAnsi="Courier New"/>
          <w:sz w:val="16"/>
          <w:szCs w:val="16"/>
          <w:color w:val="auto"/>
        </w:rPr>
        <w:t>30-year fully amortizing six-month adjustable LIBOR and 15-year fixed rate second trust deed mortgages having a principal balance of $276,273,072 and $34,725,305 with premiums paid of $2,762,731 and $1,171,979, respectively. Servicing rights on all mortgage loans were retained by ICIFC.</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SUBORDINATED LEASE RECEIVABLES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December 29, 1995, IMH purchased a subordinated interest in a lease receivable securitization from Imperial Business Credit, Inc. (IBC) a wholly-owned subsidiary of ICII. The lease receivables underlying the security were originated by IBC. IMH purchased the subordinated lease receivable at the present value of estimated cash flows based on a discount rate of 12% amounting to a purchase price of $8,440,644.</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NON-COMPETE AGREEMENT AND RIGHT OF FIRST REFUSAL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Non-Compete Agreement, ICII and any entity of which ICII owns more than 25% of the voting securities (a 25% entity) may not compete with the Company's Warehouse Lending Operations and may not establish a network of third party correspondent loan originators or another end-investor in non-conforming mortgage loans. The agreement expires two years from the effective date of the Initial Public Offering.</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59" w:gutter="0" w:footer="0" w:header="0"/>
        </w:sectPr>
      </w:pPr>
    </w:p>
    <w:bookmarkStart w:id="132" w:name="page133"/>
    <w:bookmarkEnd w:id="132"/>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Right of First Refusal Agreement, ICII granted ICIFC a right of first refusal to purchase all non-conforming mortgage loans that ICII or any 25% entity originates or acquires and subsequently offers for sale and ICIFC granted ICII, or any 25% entity designated by ICII, a right of first refusal to purchase all non-conforming mortgage loans that ICIFC acquires and subsequently offers for sale. In addition, for a period of the earlier of nine months from the effective date of the Initial Public Offering and that date upon which IMH accumulates $300 million of mortgage loans and/or mortgage-backed securities, neither ICII nor any 25% entity will be permitted to purchase any non-conforming bulk loan package having a principal balance of $50 million or more without first allowing ICIFC the opportunity to bid to purchase said package. Additional related party transactions are described elsewhere in the financial statement footnotes.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COMMITMENTS AND CONTINGENCIES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FINANCIAL INSTRUMENTS WITH OFF-BALANCE-SHEET RISK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IMH is a party to financial instruments with off-balance-sheet risk in the normal course of business. Such instruments include short-term commitments to extend credit to borrowers under warehouse lines of credit which involve elements of credit risk. In addition, IMH is exposed to credit loss in the event of nonperformance by the counterparties to the various agreements associated with loan purchases. However, IMH does not anticipate nonperformance by such borrowers or counterparties. Unless noted otherwise, IMH does not require collateral or other security to support such commitments.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uses the same credit policies in making commitments and conditional obligations as it does for on-balance sheet instruments. The contract or notional amounts of forward contracts do not represent exposure to credit loss. The Company controls the credit risk of its forward contracts through credit approvals, limits and monitoring procedures.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LEASE COMMITMENTS</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Minimum rental commitments under a noncancelable premises operating sub-lease with ICII at December 31, 1995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680" w:type="dxa"/>
            <w:vAlign w:val="bottom"/>
          </w:tcPr>
          <w:p>
            <w:pPr>
              <w:jc w:val="right"/>
              <w:spacing w:after="0"/>
              <w:rPr>
                <w:sz w:val="20"/>
                <w:szCs w:val="20"/>
                <w:color w:val="auto"/>
              </w:rPr>
            </w:pPr>
            <w:r>
              <w:rPr>
                <w:rFonts w:ascii="Courier New" w:cs="Courier New" w:eastAsia="Courier New" w:hAnsi="Courier New"/>
                <w:sz w:val="18"/>
                <w:szCs w:val="18"/>
                <w:color w:val="auto"/>
                <w:w w:val="97"/>
              </w:rPr>
              <w:t>1996...........................................................</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163,200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Thereafter.....................................................</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66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$1,039,400</w:t>
            </w:r>
          </w:p>
        </w:tc>
      </w:tr>
      <w:tr>
        <w:trPr>
          <w:trHeight w:val="203"/>
        </w:trPr>
        <w:tc>
          <w:tcPr>
            <w:tcW w:w="66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sublease is for the period from December 1, 1995 through January 1, 2002 and calls for rent to be paid based on what ICII pays according to its master lease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Rent expense for the three months ended March 31, 1996 and 1995 (unaudited) and for the years ended December 31, 1995, 1994, and 1993, was $1,095, $1,026, $9,405, and $19,611, and $24,504, respectively. Rent expense is allocated to ICIFC based on number of employees.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LOAN COMMITMENTS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IWLG's warehouse lending program provides secured short-term revolving financing to small- and medium-size mortgage originators and ICIFC to finance mortgage loans from the closing of the loans until sold to permanent investors. As of December 31, 1995, the Company had extended 11 committed lines of credit in the aggregate principal amount of approximately $640 million, of which $583 million was outstanding.</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717" w:right="1440" w:bottom="362" w:gutter="0" w:footer="0" w:header="0"/>
        </w:sectPr>
      </w:pPr>
    </w:p>
    <w:bookmarkStart w:id="133" w:name="page134"/>
    <w:bookmarkEnd w:id="133"/>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ComUnity National Asset Corporation, a Maryland corporation v. Thomas O. Markel, Jr., an individual, Homemac Mortgage Bankers, a business association of unknown form; Homemac Corporation, a California corporation; Homemac Finance Corporation; Homemac Institutional Mortgage Corporation, a California corporation; Imperial Credit Mortgage Holdings, Inc., a Maryland corporation; and DOES 1 through 100, inclusive, Orange County Superior Court Case No. 761786.</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 1996, ComUnity National Asset Corporation ("ComUnity") filed a lawsuit in Orange County Superior Court against Thomas O. Markel, Jr., several Homemac entities, and IMH. The complaint seeks damages for statutory and common law misappropriation of trade secrets, restitution for unfair competition, damages for negligence and conversion.</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ComUnity seeks damages in an unspecified amount, but in no event less than $200,000, alleging that said amount is in no event less than the amount spent and/or obligations incurred by ComUnity in setting up its business and organizational plan for IMH to become a REIT dealing primarily in B and C grade mortgage loans and to take ComUnity public in an initial public offering, together with punitive damages. Also, ComUnity alleges that IMH wrongfully received consideration in the form of, among other things, reduced expenses and legal fees, salary, wages, stock options, and other forms of consideration arising out of the commercial exploitation of ComUnity's confidential information, and that ComUnity is entitled to an order of restitution compelling IMH and other defendants to pay to ComUnity all profits from the Commerical exploitation of information allegedly received from ComUnity. The Company believes that the complaint is without merit and intends to vigorously defend the action.</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Company is involved in additional litigation arising in the normal course of business of which management believes based in part upon the advice of legal counsel, will not have a material effect on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MANAGEMENT CONTRACT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effective date of the Offering, the Company entered into an agreement with Imperial Credit Advisors, Inc. (ICAI) for an initial term of one year, to provide management services to the Company. These services include the purchase, financing, servicing and administration of mortgage loans and mortgage loan securities.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manager of the Company, ICAI receives a per annum base management fee payable monthly in arrears of an amount equal to (1) 3/8 of 1% of Gross Mortgage Assets of IMH comprised of other than Agency Certificates, conforming mortgage loans or mortgage-backed securities secured by or representing interests in conforming mortgage loans, plus (2) 1/8 of 1% of the remainder of Gross Mortgage Assets of IMH plus (3) 1/5 of 1% of the average daily asset balance of the outstanding amounts under IWLG's warehouse lending facilities. An advisory fee of $297,522 and $37,888 was paid for the three months ended March 31, 1996 (unaudited) and for the year ended December 31, 1995, respectively.</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incentive compensation, ICAI will be entitled to receive for each fiscal quarter, an amount equal to 25% of the net income of the Company, before deduction of such incentive compensation, in excess of the amount that would produce an annualized Return on Equity equal to the daily average Ten Year U.S. Treasury Rate plus 2%. The Company's incentive compensation calculation will be made quarterly in arrears before any income distributions are made to stockholders for the corresponding period. Incentive compensation of $128,700 was accrued for the three months ended March 31, 1996 (unaudited). No incentive compensation was accrued for the period November 20, 1995 through December 31, 1995.</w:t>
      </w:r>
    </w:p>
    <w:p>
      <w:pPr>
        <w:spacing w:after="0" w:line="215"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Concurrent with the management agreement, ICAI entered into a submanagement agreement with ICII for ICII to perform such management services for the Company as ICAI deems necessary.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717" w:right="1440" w:bottom="362" w:gutter="0" w:footer="0" w:header="0"/>
        </w:sectPr>
      </w:pPr>
    </w:p>
    <w:bookmarkStart w:id="134" w:name="page135"/>
    <w:bookmarkEnd w:id="134"/>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STOCK OPTION PLAN/EXECUTIVE COMPENSATION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August, 1995 the Company adopted a Stock Option, Deferred Stock and Restricted Stock Plan (the Stock Option Plan) which provides for the grant of qualified incentive stock options (ISOs), options not qualified (NQSOs) and deferred stock, restricted stock, stock appreciation, dividend equivalent rights and limited stock appreciation rights awards (Awards). The Stock Option Plan is administered by a committee of directors appointed by the Board of Directors and is composed solely of "disinterested persons." ISOs may be granted to the officers and key employees of the Company. NQSOs and Awards may be granted to the directors, officers and key employees of the Company or any of its subsidiaries, to the directors, officers and key employees of ICIFC. At December 31, 1995, shares reserved for issuance pursuant to the Company's Stock Option Plan were 400,000.</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exercise price for any NQSO or ISO granted under the Stock Option Plan may not be less than 100% (or 110% in the case of ISOs granted to an employee who is deemed to own in excess of 10% of the outstanding Common Stock) of the fair market value of the shares of Common Stock at the time the NQSO or ISO is granted.</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Under the Stock Option Plan, the Company may make loans available to stock option holders in connection with the exercise of stock options granted under the Stock Option Plan. If shares of Common Stock are pledged as collateral for such indebtedness, the shares may be returned to the Company in satisfaction of the indebtedness. If returned, the shares become available for issuance in connection with future stock options and Awards under the Stock Option Plan.</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previously terminated by the Board of Directors, the Stock Option Plan will terminate in August of 2005. Options granted under the Stock Option Plan will become exercisable as directed by a committee of the Board of Directors at the time of grant.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summary of stock options outstanding at December 31, 1995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NUMBER OF EXERCISE</w:t>
      </w:r>
    </w:p>
    <w:p>
      <w:pPr>
        <w:ind w:left="4740"/>
        <w:spacing w:after="0"/>
        <w:tabs>
          <w:tab w:leader="none" w:pos="5780" w:val="left"/>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DATE OF GRANT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717" w:right="1440" w:bottom="159" w:gutter="0" w:footer="0" w:header="0"/>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Officers of IMH.........................</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Officers of ICAI........................</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Unaffiliated directors..................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220,000 55,000 45,000 -------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$11.25</w:t>
      </w:r>
      <w:r>
        <w:rPr>
          <w:sz w:val="20"/>
          <w:szCs w:val="20"/>
          <w:color w:val="auto"/>
        </w:rPr>
        <w:tab/>
      </w:r>
      <w:r>
        <w:rPr>
          <w:rFonts w:ascii="Courier New" w:cs="Courier New" w:eastAsia="Courier New" w:hAnsi="Courier New"/>
          <w:sz w:val="16"/>
          <w:szCs w:val="16"/>
          <w:color w:val="auto"/>
        </w:rPr>
        <w:t>August 30, 1995</w:t>
      </w: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11.25</w:t>
      </w:r>
      <w:r>
        <w:rPr>
          <w:sz w:val="20"/>
          <w:szCs w:val="20"/>
          <w:color w:val="auto"/>
        </w:rPr>
        <w:tab/>
      </w:r>
      <w:r>
        <w:rPr>
          <w:rFonts w:ascii="Courier New" w:cs="Courier New" w:eastAsia="Courier New" w:hAnsi="Courier New"/>
          <w:sz w:val="16"/>
          <w:szCs w:val="16"/>
          <w:color w:val="auto"/>
        </w:rPr>
        <w:t>August 30, 1995</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13.00</w:t>
      </w:r>
      <w:r>
        <w:rPr>
          <w:sz w:val="20"/>
          <w:szCs w:val="20"/>
          <w:color w:val="auto"/>
        </w:rPr>
        <w:tab/>
      </w:r>
      <w:r>
        <w:rPr>
          <w:rFonts w:ascii="Courier New" w:cs="Courier New" w:eastAsia="Courier New" w:hAnsi="Courier New"/>
          <w:sz w:val="16"/>
          <w:szCs w:val="16"/>
          <w:color w:val="auto"/>
        </w:rPr>
        <w:t>November 20, 1995</w:t>
      </w:r>
    </w:p>
    <w:p>
      <w:pPr>
        <w:spacing w:after="0" w:line="206" w:lineRule="exact"/>
        <w:rPr>
          <w:sz w:val="20"/>
          <w:szCs w:val="20"/>
          <w:color w:val="auto"/>
        </w:rPr>
      </w:pPr>
    </w:p>
    <w:p>
      <w:pPr>
        <w:sectPr>
          <w:pgSz w:w="11900" w:h="16838" w:orient="portrait"/>
          <w:cols w:equalWidth="0" w:num="3">
            <w:col w:w="4540" w:space="200"/>
            <w:col w:w="740" w:space="320"/>
            <w:col w:w="4419"/>
          </w:cols>
          <w:pgMar w:left="240" w:top="717" w:right="1440" w:bottom="159" w:gutter="0" w:footer="0" w:header="0"/>
          <w:type w:val="continuous"/>
        </w:sectPr>
      </w:pPr>
    </w:p>
    <w:p>
      <w:pPr>
        <w:ind w:left="4740"/>
        <w:spacing w:after="0" w:line="234" w:lineRule="auto"/>
        <w:rPr>
          <w:sz w:val="20"/>
          <w:szCs w:val="20"/>
          <w:color w:val="auto"/>
        </w:rPr>
      </w:pPr>
      <w:r>
        <w:rPr>
          <w:rFonts w:ascii="Courier New" w:cs="Courier New" w:eastAsia="Courier New" w:hAnsi="Courier New"/>
          <w:sz w:val="18"/>
          <w:szCs w:val="18"/>
          <w:color w:val="auto"/>
        </w:rPr>
        <w:t>320,000</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shares were exercisable at December 31, 1995.</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220,000 and 55,000 stock options become exercisable three years from the date of grant and expire seven years from the date they become exercisable. The 45,000 stock options become exercisable on the first anniversary of the date of grant and expire nine years from the date they become exercisable.</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 January 31, 1996, 25,000 of the 220,000 stock options were canceled.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STOCKHOLDERS' EQUITY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November 20, 1995, the Company completed its initial public offering of 3,750,000 shares of common stock. The Company raised $44,493,294 in the offering net of $4,256,706 of offering expenses. The Company intends to distribute 95% or more of its net taxable income (which does not necessarily equal net income as calculated in accordance with GAAP) to its common stockholders each year so as to comply with the REIT provisions of the Internal Revenue Code. Holders of the common stock are entitled to such dividends as the Company's Board of Directors, in its discretion, may declare out of funds available. In the event of liquidation</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717" w:right="1440" w:bottom="159" w:gutter="0" w:footer="0" w:header="0"/>
          <w:type w:val="continuous"/>
        </w:sectPr>
      </w:pPr>
    </w:p>
    <w:bookmarkStart w:id="135" w:name="page136"/>
    <w:bookmarkEnd w:id="135"/>
    <w:p>
      <w:pPr>
        <w:ind w:left="12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the Company, holders of common stock are entitled to receive, pro rata, all of the assets of the Company available for distribution. Holders of the common stock have no conversion or preemptive or other subscription rights and there are no redemption or sinking fund provisions applicable to the common stock. At December 31, 1995, 50 million shares of common stock are authorized and 4,250,000 shares are issued and outstanding.</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is authorized to issue shares of preferred stock designated in one or more classes or series. The preferred stock may be issued from time to time with such designations, rights and preferences as shall be determined by the Board of Directors. The preferred stock, if issued, may have a preference on dividend payments which could affect the ability of the Company to make dividend distributions to the common stockholders. As of December 31, 1995, 10 million shares of preferred stock are authorized and no shares have been issued or are outstanding.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SUBSEQUENT EVENTS (UNAUDITED)</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 April 16, 1996, the Board of Directors declared a $0.39 cash dividend, all to be taxable as ordinary income, to be paid on April 30, 1996 to stockholders of record on April 24, 1996.</w:t>
      </w:r>
    </w:p>
    <w:p>
      <w:pPr>
        <w:spacing w:after="0" w:line="209"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During the second quarter of 1996, the Company completed a $296.3 million CMO financing.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ICI FUNDING CORPORATION</w:t>
      </w:r>
    </w:p>
    <w:p>
      <w:pPr>
        <w:spacing w:after="0" w:line="207"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following condensed financial information summarizes the financial condition, results of operations and cash flows of ICI Funding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2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w w:val="96"/>
              </w:rPr>
              <w:t>BALANCE SHEETS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MARCH 31,</w:t>
            </w: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380" w:type="dxa"/>
            <w:vAlign w:val="bottom"/>
          </w:tcPr>
          <w:p>
            <w:pPr>
              <w:ind w:left="1800"/>
              <w:spacing w:after="0"/>
              <w:rPr>
                <w:sz w:val="20"/>
                <w:szCs w:val="20"/>
                <w:color w:val="auto"/>
              </w:rPr>
            </w:pPr>
            <w:r>
              <w:rPr>
                <w:rFonts w:ascii="Courier New" w:cs="Courier New" w:eastAsia="Courier New" w:hAnsi="Courier New"/>
                <w:sz w:val="18"/>
                <w:szCs w:val="18"/>
                <w:color w:val="auto"/>
              </w:rPr>
              <w:t>ASSETS</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Cash....................................</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2,184,344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Mortgage loans held for sale............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179,630,533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544,274,962</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interest receivable.............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763,352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2,984,867</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Due from affiliates.....................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4,472,461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2,541,743</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Mortgage servicing rights...............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2,656,626</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11,453,240</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Premises and equipment, net.............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516,250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643,971</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92,779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129,205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$188,105,751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$552,631,371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$12,097,211</w:t>
            </w:r>
          </w:p>
        </w:tc>
      </w:tr>
      <w:tr>
        <w:trPr>
          <w:trHeight w:val="203"/>
        </w:trPr>
        <w:tc>
          <w:tcPr>
            <w:tcW w:w="3380" w:type="dxa"/>
            <w:vAlign w:val="bottom"/>
          </w:tcPr>
          <w:p>
            <w:pPr>
              <w:spacing w:after="0"/>
              <w:rPr>
                <w:sz w:val="17"/>
                <w:szCs w:val="17"/>
                <w:color w:val="auto"/>
              </w:rPr>
            </w:pPr>
          </w:p>
        </w:tc>
        <w:tc>
          <w:tcPr>
            <w:tcW w:w="37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Borrowings from IWLG....................</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$173,407,629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$550,290,862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Borrowings from ICII....................</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5,698,162</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interest expense................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2,894,545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1,348,424</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1,827,583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117,500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Due to affiliate........................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343,784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178,473,541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551,756,786</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5,698,162</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9,142,650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1,014,750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92,350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361,170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Retained earnings (accumulated</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deficit).............................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397,210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(150,415)</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6,037,879</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9,632,210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874,585</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6,399,049</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$188,105,751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$552,631,371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$12,097,211</w:t>
            </w:r>
          </w:p>
        </w:tc>
      </w:tr>
      <w:tr>
        <w:trPr>
          <w:trHeight w:val="203"/>
        </w:trPr>
        <w:tc>
          <w:tcPr>
            <w:tcW w:w="338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59" w:gutter="0" w:footer="0" w:header="0"/>
        </w:sectPr>
      </w:pPr>
    </w:p>
    <w:bookmarkStart w:id="136" w:name="page137"/>
    <w:bookmarkEnd w:id="136"/>
    <w:p>
      <w:pPr>
        <w:ind w:left="270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9019"/>
          </w:cols>
          <w:pgMar w:left="1440" w:top="344" w:right="1440" w:bottom="1440" w:gutter="0" w:footer="0" w:header="0"/>
        </w:sectPr>
      </w:pPr>
    </w:p>
    <w:bookmarkStart w:id="137" w:name="page138"/>
    <w:bookmarkEnd w:id="137"/>
    <w:p>
      <w:pPr>
        <w:ind w:left="1380"/>
        <w:spacing w:after="0"/>
        <w:rPr>
          <w:sz w:val="20"/>
          <w:szCs w:val="20"/>
          <w:color w:val="auto"/>
        </w:rPr>
      </w:pPr>
      <w:r>
        <w:rPr>
          <w:rFonts w:ascii="Courier New" w:cs="Courier New" w:eastAsia="Courier New" w:hAnsi="Courier New"/>
          <w:sz w:val="18"/>
          <w:szCs w:val="18"/>
          <w:color w:val="auto"/>
        </w:rPr>
        <w:t>IMPERIAL CREDIT MORTGAGE HOLDINGS, INC. AND SUBSIDIARY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gridSpan w:val="7"/>
          </w:tcPr>
          <w:p>
            <w:pPr>
              <w:jc w:val="right"/>
              <w:ind w:right="812"/>
              <w:spacing w:after="0"/>
              <w:rPr>
                <w:sz w:val="20"/>
                <w:szCs w:val="20"/>
                <w:color w:val="auto"/>
              </w:rPr>
            </w:pPr>
            <w:r>
              <w:rPr>
                <w:rFonts w:ascii="Courier New" w:cs="Courier New" w:eastAsia="Courier New" w:hAnsi="Courier New"/>
                <w:sz w:val="18"/>
                <w:szCs w:val="18"/>
                <w:color w:val="auto"/>
              </w:rPr>
              <w:t>NOTES TO CONSOLIDATED FINANCIAL STATEMENTS--(CONTINUED)</w:t>
            </w:r>
          </w:p>
        </w:tc>
        <w:tc>
          <w:tcPr>
            <w:tcW w:w="1320" w:type="dxa"/>
            <w:vAlign w:val="bottom"/>
          </w:tcPr>
          <w:p>
            <w:pPr>
              <w:spacing w:after="0"/>
              <w:rPr>
                <w:sz w:val="17"/>
                <w:szCs w:val="17"/>
                <w:color w:val="auto"/>
              </w:rPr>
            </w:pP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STATEMENT OF OPERATIONS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THREE MONTHS ENDED</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jc w:val="right"/>
              <w:ind w:right="912"/>
              <w:spacing w:after="0" w:line="203" w:lineRule="exact"/>
              <w:rPr>
                <w:sz w:val="20"/>
                <w:szCs w:val="20"/>
                <w:color w:val="auto"/>
              </w:rPr>
            </w:pPr>
            <w:r>
              <w:rPr>
                <w:rFonts w:ascii="Courier New" w:cs="Courier New" w:eastAsia="Courier New" w:hAnsi="Courier New"/>
                <w:sz w:val="18"/>
                <w:szCs w:val="18"/>
                <w:color w:val="auto"/>
              </w:rPr>
              <w:t>MARCH 31,</w:t>
            </w:r>
          </w:p>
        </w:tc>
        <w:tc>
          <w:tcPr>
            <w:tcW w:w="406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25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Gain on sale of loans.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2,613,620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729,922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$ 4,135,373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$ 2,291,143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$ 5,859,378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11,119,272</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1,249,000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Loan servicing income.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31,708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1,332,928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5,158,812</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4,042,798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1,377,247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servicing rights.....</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369,703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369,703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4,188,282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5,332,026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13,764,600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2,432,553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10,912,888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10,522,223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12,568,651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on borrowings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IWLG............</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11,219,048</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1,348,424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1,200,017</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1,132,498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3,662,080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6,332,479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4,507,534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655,294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14,319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447,650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2,892,341</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2,070,387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459,233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on borrowings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ICII............</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149,259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436,668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538,100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126,814</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12,833,384</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1,729,407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8,339,513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9,596,260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5,268,581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931,216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703,146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2,573,375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925,963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7,300,070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(383,591)</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(295,321)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(1,069,056)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(388,904)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(3,066,029)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547,625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407,825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$ 1,504,319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537,059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$ 4,234,041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F-24</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IMPERIAL CREDIT MORTGAGE HOLDINGS, INC. AND SUBSIDIARY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712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NOTES TO CONSOLIDATED FINANCIAL STATEMENTS--(CONTINUED)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STATEMENTS OF CASH FLOWS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FOR THE THREE MONTHS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ENDED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5"/>
          </w:tcPr>
          <w:p>
            <w:pPr>
              <w:jc w:val="right"/>
              <w:ind w:right="652"/>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25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1"/>
              </w:rPr>
              <w: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1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547,625</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407,825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1,504,319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537,059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4,234,041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reconcile net income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operating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655,294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40,569</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487,328</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2,911,752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2,219,262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518,789</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servicing rights....</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(369,703)</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(4,188,282)</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(5,332,026)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change in mortgage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loans held for sale..</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364,244,429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(544,274,962)</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other</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 and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3,927,211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(4,189,891)</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(used in) operating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activities...........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369,159,834</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525,450</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(544,418,485)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(776,667)</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(404,196)</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servicing rights.....</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915,106</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1,250,092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8,996,662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7,757,268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servicing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rights...............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(2,670,945)</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(1,155,334)</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(3,865,605)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(8,781,244)</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(12,435,238)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premises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equipment........</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(433,199)</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(419,203)</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Advances on loans held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for investment.......</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(408,054)</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(284,780)</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(2,670,945)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(240,228)</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(2,615,513)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(625,835)</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(5,381,953)</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borrowings...........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(376,883,233)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(285,222)</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548,718,342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1,041,332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5,786,149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Capital contributions.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8,210,000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361,170</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(368,673,233)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(285,222)</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549,218,342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1,402,502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5,786,149</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change in cash......</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(2,184,344)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2,184,344</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beginning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period.................</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2,184,344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at end of period...</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2,184,344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7340" w:type="dxa"/>
            <w:vAlign w:val="bottom"/>
            <w:gridSpan w:val="10"/>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paid.........</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9,672,927</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1,785,092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538,100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126,814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Taxes paid............</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383,591</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295,321</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1,069,056</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388,904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3,066,029</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Non-cash transactions:</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Contribution</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Transaction on</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November 20, 1995 net</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 reverted to</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ICII:</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Premises and</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 $</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498,486</w:t>
            </w: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rights..............</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11,680,939</w:t>
            </w:r>
          </w:p>
        </w:tc>
        <w:tc>
          <w:tcPr>
            <w:tcW w:w="58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 from ICII.</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4,125,642</w:t>
            </w:r>
          </w:p>
        </w:tc>
        <w:tc>
          <w:tcPr>
            <w:tcW w:w="58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361,170</w:t>
            </w:r>
          </w:p>
        </w:tc>
        <w:tc>
          <w:tcPr>
            <w:tcW w:w="58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7,692,613</w:t>
            </w:r>
          </w:p>
        </w:tc>
        <w:tc>
          <w:tcPr>
            <w:tcW w:w="58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4"/>
                <w:szCs w:val="24"/>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8"/>
                <w:szCs w:val="18"/>
                <w:color w:val="auto"/>
              </w:rPr>
              <w:t>F-25</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40" w:name="page141"/>
    <w:bookmarkEnd w:id="140"/>
    <w:p>
      <w:pPr>
        <w:ind w:left="26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ICI Funding Corporation: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audited the accompanying balance sheets of ICI Funding Corporation as of December 31, 1995 and 1994, and the related statements of operations, changes in shareholders' equity and cash flows for each of the years in the three-year period ended December 31, 1995.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ICI Funding Corporation as of December 31, 1995 and 1994, and the results of its operations and its cash flows for each of the years in the three-year period ended December 31, 1995 in conformity with generally accepted accounting principles.</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As discussed in note 1 to the financial statements, the Company adopted the provisions of Statement of Financial Accounting Standards No. 122, "Accounting for Mortgage Servicing Rights" for the year ended December 31, 1995.</w:t>
      </w:r>
    </w:p>
    <w:p>
      <w:pPr>
        <w:spacing w:after="0" w:line="17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38" w:lineRule="auto"/>
        <w:rPr>
          <w:sz w:val="20"/>
          <w:szCs w:val="20"/>
          <w:color w:val="auto"/>
        </w:rPr>
      </w:pPr>
      <w:r>
        <w:rPr>
          <w:rFonts w:ascii="Courier New" w:cs="Courier New" w:eastAsia="Courier New" w:hAnsi="Courier New"/>
          <w:sz w:val="18"/>
          <w:szCs w:val="18"/>
          <w:color w:val="auto"/>
        </w:rPr>
        <w:t>January 25, 1996</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717" w:right="1440" w:bottom="1440" w:gutter="0" w:footer="0" w:header="0"/>
        </w:sectPr>
      </w:pPr>
    </w:p>
    <w:bookmarkStart w:id="141" w:name="page142"/>
    <w:bookmarkEnd w:id="141"/>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BALANCE SHEETS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28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2,184,344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loans held for sale............</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179,630,533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544,274,962</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Accrued interest receivable.............</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763,352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2,984,867</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Due from affiliates.....................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4,472,461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2,541,743</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Mortgage servicing rights...............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2,656,626</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11,453,240</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Premises and equipment, net.............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516,250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643,971</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92,779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129,205</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$188,105,751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$552,631,371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$12,097,211</w:t>
            </w:r>
          </w:p>
        </w:tc>
      </w:tr>
      <w:tr>
        <w:trPr>
          <w:trHeight w:val="203"/>
        </w:trPr>
        <w:tc>
          <w:tcPr>
            <w:tcW w:w="4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Borrowings from IWLG....................</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$173,407,629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$550,290,862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Borrowings from ICII....................</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5,698,162</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Accrued interest expense................</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2,894,545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1,348,424</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1,827,583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117,500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Due to affiliate........................</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343,784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178,473,541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551,756,786</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5,698,162</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no par value; 10,000</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10,000 shares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 and outstanding at March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 (unaudited) and at December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 and none issued and outstanding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December 31, 1994.................</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9,142,650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1,014,750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no par value; 10,000</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10,000 shares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 and outstanding at March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 (unaudited) and at December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 and none issued and outstanding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December 31, 1994.................</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92,350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10,250</w:t>
            </w:r>
          </w:p>
        </w:tc>
        <w:tc>
          <w:tcPr>
            <w:tcW w:w="1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361,170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deficit).............................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397,210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(150,415)</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6,037,879</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9,632,210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874,585</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6,399,049</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$188,105,751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$552,631,371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$12,097,211</w:t>
            </w:r>
          </w:p>
        </w:tc>
      </w:tr>
      <w:tr>
        <w:trPr>
          <w:trHeight w:val="203"/>
        </w:trPr>
        <w:tc>
          <w:tcPr>
            <w:tcW w:w="4280" w:type="dxa"/>
            <w:vAlign w:val="bottom"/>
          </w:tcPr>
          <w:p>
            <w:pPr>
              <w:spacing w:after="0"/>
              <w:rPr>
                <w:sz w:val="17"/>
                <w:szCs w:val="17"/>
                <w:color w:val="auto"/>
              </w:rPr>
            </w:pP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717" w:right="1440" w:bottom="1440" w:gutter="0" w:footer="0" w:header="0"/>
        </w:sectPr>
      </w:pPr>
    </w:p>
    <w:bookmarkStart w:id="142" w:name="page143"/>
    <w:bookmarkEnd w:id="142"/>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jc w:val="right"/>
              <w:ind w:right="272"/>
              <w:spacing w:after="0"/>
              <w:rPr>
                <w:sz w:val="20"/>
                <w:szCs w:val="20"/>
                <w:color w:val="auto"/>
              </w:rPr>
            </w:pPr>
            <w:r>
              <w:rPr>
                <w:rFonts w:ascii="Courier New" w:cs="Courier New" w:eastAsia="Courier New" w:hAnsi="Courier New"/>
                <w:sz w:val="18"/>
                <w:szCs w:val="18"/>
                <w:color w:val="auto"/>
                <w:w w:val="97"/>
              </w:rPr>
              <w:t>FOR THE THREE MONTHS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ENDED MARCH 31,</w:t>
            </w:r>
          </w:p>
        </w:tc>
        <w:tc>
          <w:tcPr>
            <w:tcW w:w="4060" w:type="dxa"/>
            <w:vAlign w:val="bottom"/>
            <w:gridSpan w:val="5"/>
          </w:tcPr>
          <w:p>
            <w:pPr>
              <w:jc w:val="right"/>
              <w:ind w:right="432"/>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25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11,119,272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$ 1,249,000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Gain on sale of loans.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2,613,620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729,922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4,135,373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2,291,143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5,859,378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Loan servicing income.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31,708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1,332,928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5,158,812</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4,042,798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1,377,247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servicing rights.....</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369,703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369,703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4,188,282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5,332,026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13,764,600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2,432,553</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10,912,888</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10,522,223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12,568,651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on borrowings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IWLG............</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11,219,048</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1,348,424</w:t>
            </w:r>
          </w:p>
        </w:tc>
        <w:tc>
          <w:tcPr>
            <w:tcW w:w="1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Personnel expense.....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834,791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517,875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1,592,282</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2,958,534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2,522,271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655,294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134,210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461,032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1,539,942</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2,611,567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1,466,119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Professional services.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116,511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45,781</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203,593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118,979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146,947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Occupancy expense.....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49,114</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53,637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149,825</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296,215</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193,226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Data processing</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36,286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29,314</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89,223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154,621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81,670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Telephone and other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communications.......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29,105</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24,859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87,215</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192,563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97,301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14,319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447,650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2,892,341</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2,070,387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459,233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on borrowings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ICII............</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149,259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436,668</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538,100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126,814</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12,833,384</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1,729,407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8,339,513</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9,596,260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5,268,581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931,216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703,146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2,573,375</w:t>
            </w:r>
          </w:p>
        </w:tc>
        <w:tc>
          <w:tcPr>
            <w:tcW w:w="1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925,963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7,300,070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(383,591)</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(295,321)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(1,069,056)</w:t>
            </w: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(388,904)</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(3,066,029)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547,625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407,825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$ 1,504,319</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537,059</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$ 4,234,041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717" w:right="1440" w:bottom="1440" w:gutter="0" w:footer="0" w:header="0"/>
        </w:sectPr>
      </w:pPr>
    </w:p>
    <w:bookmarkStart w:id="143" w:name="page144"/>
    <w:bookmarkEnd w:id="143"/>
    <w:p>
      <w:pPr>
        <w:jc w:val="center"/>
        <w:ind w:right="262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RETAINED</w:t>
            </w:r>
          </w:p>
        </w:tc>
        <w:tc>
          <w:tcPr>
            <w:tcW w:w="14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EARNINGS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640" w:type="dxa"/>
            <w:vAlign w:val="bottom"/>
          </w:tcPr>
          <w:p>
            <w:pPr>
              <w:spacing w:after="0"/>
              <w:rPr>
                <w:sz w:val="17"/>
                <w:szCs w:val="17"/>
                <w:color w:val="auto"/>
              </w:rPr>
            </w:pPr>
          </w:p>
        </w:tc>
        <w:tc>
          <w:tcPr>
            <w:tcW w:w="22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 OF PREFERRED</w:t>
            </w: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NUMBER OF COMMON</w:t>
            </w:r>
          </w:p>
        </w:tc>
        <w:tc>
          <w:tcPr>
            <w:tcW w:w="26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CONTRIBUTED (ACCUMULATED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STOCK</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CAPITAL</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DEFICIT)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2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8"/>
              </w:rPr>
              <w:t>---------- --------- ------- -----------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December 31,</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$ 1,266,779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$ 1,266,779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1993........</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4,234,041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4,234,041</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5,500,820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5,500,820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contributions,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361,170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361,170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1994........</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537,059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537,059</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361,170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6,037,879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6,399,049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Transaction............</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519,750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(361,170)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(7,692,613)</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(7,528,783)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contribution,</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28, 1995......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495,000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1995........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1,504,319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1,504,319</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1,014,750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10,250</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(150,415)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874,585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Contributions,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(unaudited).......</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8,127,900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82,100</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8,210,000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three months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ended March 31, 1996</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547,625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547,625</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March 31, 1996</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$9,142,650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$92,350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397,210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$ 9,632,210</w:t>
            </w:r>
          </w:p>
        </w:tc>
      </w:tr>
      <w:tr>
        <w:trPr>
          <w:trHeight w:val="203"/>
        </w:trPr>
        <w:tc>
          <w:tcPr>
            <w:tcW w:w="26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960"/>
          </w:cols>
          <w:pgMar w:left="240" w:top="717" w:right="699" w:bottom="1440" w:gutter="0" w:footer="0" w:header="0"/>
        </w:sectPr>
      </w:pPr>
    </w:p>
    <w:bookmarkStart w:id="144" w:name="page145"/>
    <w:bookmarkEnd w:id="144"/>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FOR THE THREE MONTHS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2"/>
              </w:rPr>
              <w:t>ENDED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MARCH 31,</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5"/>
          </w:tcPr>
          <w:p>
            <w:pPr>
              <w:jc w:val="right"/>
              <w:ind w:right="652"/>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25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1"/>
              </w:rPr>
              <w: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8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1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547,625</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407,825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1,504,319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537,059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4,234,041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reconcile net income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operating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loan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losses..............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655,294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40,569</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487,328</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2,911,752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2,219,262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518,789</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servicing rights....</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(369,703)</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(4,188,282)</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(5,332,026)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change in mortgage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loans held for sale..</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364,244,429</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(544,274,962)</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accrued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receivable...........</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2,221,515</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(2,984,867)</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other</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 and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159,575</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(2,553,448)</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accrued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interest expense.....</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1,546,121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1,348,424</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(used in) operating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activities...........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369,159,834</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525,450</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(544,418,485)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(776,667)</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(404,196)</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servicing rights.....</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915,106</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1,250,092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8,996,662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7,757,268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servicing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rights...............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(2,670,945)</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(1,155,334)</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(3,865,605)</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(8,781,244)</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(12,435,238)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premises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equipment........</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(433,199)</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(419,203)</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Advances on loans held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for investment.......</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(408,054)</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(284,780)</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(2,670,945)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(240,228)</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(2,615,513)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(625,835)</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(5,381,953)</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borrowings from ICII.</w:t>
            </w:r>
          </w:p>
        </w:tc>
        <w:tc>
          <w:tcPr>
            <w:tcW w:w="160" w:type="dxa"/>
            <w:vAlign w:val="bottom"/>
          </w:tcPr>
          <w:p>
            <w:pPr>
              <w:spacing w:after="0"/>
              <w:rPr>
                <w:sz w:val="17"/>
                <w:szCs w:val="17"/>
                <w:color w:val="auto"/>
              </w:rPr>
            </w:pP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(285,222)</w:t>
            </w: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(1,572,520)</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1,041,332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5,786,149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borrowings from IWLG.</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(376,883,233)</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550,290,862</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Capital contributions.</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8,210,000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361,170</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(368,673,233)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(285,222)</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549,218,342</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1,402,502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5,786,149</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change in cash......</w:t>
            </w:r>
          </w:p>
        </w:tc>
        <w:tc>
          <w:tcPr>
            <w:tcW w:w="1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(2,184,344)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2,184,344</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beginning of</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period.................</w:t>
            </w:r>
          </w:p>
        </w:tc>
        <w:tc>
          <w:tcPr>
            <w:tcW w:w="16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2,184,344</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at end of period...</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2,184,344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7340" w:type="dxa"/>
            <w:vAlign w:val="bottom"/>
            <w:gridSpan w:val="10"/>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information: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 $</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9,672,927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149,259</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1,785,092</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538,100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126,814</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paid............</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383,591</w:t>
            </w:r>
          </w:p>
        </w:tc>
        <w:tc>
          <w:tcPr>
            <w:tcW w:w="3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295,321</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1,069,056</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388,904</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3,066,029</w:t>
            </w:r>
          </w:p>
        </w:tc>
      </w:tr>
      <w:tr>
        <w:trPr>
          <w:trHeight w:val="203"/>
        </w:trPr>
        <w:tc>
          <w:tcPr>
            <w:tcW w:w="4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transactions: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Contribution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Transaction on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November 20, 1995 net</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 reverted to</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ICII:</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Premises and</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 $</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498,486</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Mortgage servicing</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rights..............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11,680,939</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 from ICII.</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4,125,642</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Contributed capital..</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361,170</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7,692,613</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136" w:right="1440" w:bottom="1440" w:gutter="0" w:footer="0" w:header="0"/>
        </w:sectPr>
      </w:pPr>
    </w:p>
    <w:bookmarkStart w:id="146" w:name="page147"/>
    <w:bookmarkEnd w:id="146"/>
    <w:p>
      <w:pPr>
        <w:jc w:val="center"/>
        <w:ind w:right="1879"/>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FOR THE THREE MONTHS ENDED MARCH 31, 1996 AND 1995 (UNAUDITED) AND THE THREE-</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PERIOD ENDED DECEMBER 31,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BUSINESS AND SIGNIFICANT ACCOUNTING POLICIES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 Funding Corporation (ICIFC or the Company) is a wholly-owned subsidiary of Imperial Credit Industries, Inc. (ICII). Historically, ICIFC was a division or subsidiary of ICII that began operations in 1990. ICIFC is a mortgage loan conduit organization which purchases mortgage loans from a network of third party correspondent loan originators and subsequently securitizes or sells such loans to permanent investors.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mortgage banking business is highly competitive. The Company competes with a number of national, local and regional mortgage banking companies with operations similar to those of the Company. In addition, competitors or potential competitors include other types of financial services companies, such as commercial banks, savings and loan associations and finance companies who possess substantially greater financial, marketing, technical, personnel and other resources than the Company.</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financial statements have been prepared in conformity with generally accepted accounting principles and prevailing practices within the mortgage banking industry. In preparing the financial statements, management is required to make estimates and assumptions that affect the reported amounts of assets and liabilities as of the date of the balance sheet and revenues and expenses for the period. Actual results could differ significantly from those estimates.</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CONTRIBUTION TRANSACTION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November 20, 1995, the effective date of Imperial Credit Mortgage Holdings' (IMH) initial public offering (Offering), ICII contributed to ICI Funding Corporation (ICIFC) certain operating assets and certain customer lists of ICII's mortgage conduit operations, including all of ICII's mortgage conduit operations' commitments to purchase mortgage loans subject to rate locks from correspondents, in exchange for shares representing 100% of the common stock and 100% of the non-voting preferred stock of ICIFC. Simultaneously, on the effective date of the Offering, in exchange for 500,000 shares of IMH Common Stock, ICII (1) contributed to IMH all of the outstanding non-voting preferred stock of ICIFC, which represents 99% of the economic interest in ICIFC, (2) caused Southern Pacific Thrift and Loan Association (SPTL), a wholly owned subsidiary of ICII, to contribute to IMH certain operating assets and certain customer lists of SPTL's warehouse lending division, and (3) executed an agreement not to compete and a right of first refusal agreement, each having a term of two years from the effective date of the Offering. This contribution is known as the Contribution Transaction. All of the outstanding shares of common stock of ICIFC were retained by ICII. Lastly, IMH contributed all of the aforementioned operating assets of SPTL's warehouse lending operations contributed to it by SPTL to Imperial Warehouse Lending Group (IWLG) in exchange for shares representing 100% of the common stock of IWLG. On the effective date of the Offering, the net tangible book value of the assets contributed pursuant to the Contribution Transaction was $525,000. The assets contributed were recorded by IMH at the net book value of SPTL and ICII which were also estimated to be their fair value. ICII and SPTL retained all other assets and liabilities related to the contributed operations which consist of $11.7 million mortgage servicing rights (MSRs), $22.4 million finance receivables and $26.6 million in advances made by ICII and SPTL to fund mortgage conduit loan acquisitions and to fund finance receivables, respectively.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FINANCIAL STATEMENT PRESENTATION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operations of ICIFC as a division or subsidiary of ICII prior to the Contribution Transaction are presented in the financial statements as a stand-alone company. Certain adjustments, as described below, were made to historical operations in order to provide fair presentation of the financial operations of ICIFC.</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717" w:right="1440" w:bottom="767" w:gutter="0" w:footer="0" w:header="0"/>
        </w:sectPr>
      </w:pPr>
    </w:p>
    <w:bookmarkStart w:id="147" w:name="page148"/>
    <w:bookmarkEnd w:id="147"/>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GAIN (LOSS) ON SALE OF LOANS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ICII entered into an agreement with SPTL, its wholly owned subsidiary, under which ICII provides loan solicitation and origination services, including credit review, asset appraisal and documentation, pursuant to specific underwriting criteria established by SPTL and consistent with the Federal National Mortgage Association, Federal Home Loan Mortgage Company or other investor guidelines. Final loan approval is given by SPTL prior to issuance of any commitments. ICII also, under the agreement, may purchase mortgage loans at book value from SPTL and sell them to ICII investors.</w:t>
      </w: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Prior to the Contribution Transaction, as a division of ICII, ICIFC historically, under this agreement, provided these solicitation and origination services relating to its correspondent customers, and purchased mortgage loans at book value from SPTL concurrent with sales to investors by ICIFC. ICIFC received as compensation all origination fees and points received, and recognized all gains or losses in connection with the sale of loans.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the Contribution Transaction, gain (loss) on sale of loans included amounts allocated to ICIFC from ICII's forward contracts and other loan hedging activities. Gains and losses from these activities were allocated to ICIFC based on the ratio of ICIFC's principal amount of loan sales to ICII's total principal amount of loans sold. For the period January 1, 1995 through November 19, 1995 and for the years ended December 31, 1994, 1993, the total gains or (losses) allocated were $2.6 million, $3.8 million and ($1.4) million, respectively. ICII did not allocate outstanding commitments to ICIFC at the end of any reporting period. After the date of the Contribution Transaction, ICII discontinued these allocations for ICIFC, and ICIFC hedges its own loans.</w:t>
      </w:r>
    </w:p>
    <w:p>
      <w:pPr>
        <w:spacing w:after="0" w:line="21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ICIFC recognizes gain or loss on the sale of loans when the sales transaction settles and the risks and rewards of ownership are determined to have passed to the purchasing party.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BORROWINGS FROM ICII</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Historical operations of ICIFC, prior to the Contribution Transaction, have been adjusted to reflect the funding of net assets by ICII. These adjustments are disclosed in the accompanying financial statements as "Borrowings from ICII." Because these borrowings would have been secured primarily by ICIFC's mortgage servicing rights, its most significant assets, no more than 50% of the mortgage servicing rights was reflected in the borrowings from ICII (based on management's assumption that a lender would not lend more than 50% of an asset of this type). Additionally, the historical operations of ICIFC have been adjusted to reflect the estimated interest charges on these borrowings, in the accompanying statements of operations.</w:t>
      </w:r>
    </w:p>
    <w:p>
      <w:pPr>
        <w:spacing w:after="0" w:line="3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interest charges allocated are based upon estimated average borrowing balances and ICII's estimated cost of funds, computed based on a weighted average of borrowings. Borrowing rates used were ICII's actual average cost of funds. The average borrowings and interest rates used to determine the interest on borrowings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JANUARY 1,</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6"/>
              </w:rPr>
              <w:t>FOR THE YEAR ENDED</w:t>
            </w:r>
          </w:p>
        </w:tc>
      </w:tr>
      <w:tr>
        <w:trPr>
          <w:trHeight w:val="203"/>
        </w:trPr>
        <w:tc>
          <w:tcPr>
            <w:tcW w:w="2580" w:type="dxa"/>
            <w:vAlign w:val="bottom"/>
          </w:tcPr>
          <w:p>
            <w:pPr>
              <w:spacing w:after="0"/>
              <w:rPr>
                <w:sz w:val="17"/>
                <w:szCs w:val="17"/>
                <w:color w:val="auto"/>
              </w:rPr>
            </w:pP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1995 THROUGH</w:t>
            </w: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580" w:type="dxa"/>
            <w:vAlign w:val="bottom"/>
          </w:tcPr>
          <w:p>
            <w:pPr>
              <w:spacing w:after="0"/>
              <w:rPr>
                <w:sz w:val="17"/>
                <w:szCs w:val="17"/>
                <w:color w:val="auto"/>
              </w:rPr>
            </w:pPr>
          </w:p>
        </w:tc>
        <w:tc>
          <w:tcPr>
            <w:tcW w:w="3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NOVEMBER 20, THREE MONTHS ENDED</w:t>
            </w:r>
          </w:p>
        </w:tc>
        <w:tc>
          <w:tcPr>
            <w:tcW w:w="12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4"/>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MARCH 31, 1995</w:t>
            </w:r>
          </w:p>
        </w:tc>
        <w:tc>
          <w:tcPr>
            <w:tcW w:w="1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58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6"/>
              </w:rPr>
              <w:t>Estimated average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borrowings.............</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4,785,268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5,807,761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5,234,439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1,806,470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rate...........</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w:t>
            </w:r>
          </w:p>
        </w:tc>
        <w:tc>
          <w:tcPr>
            <w:tcW w:w="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10.28%</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allocation.....</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436,668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149,259</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538,100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126,814</w:t>
            </w:r>
          </w:p>
        </w:tc>
      </w:tr>
      <w:tr>
        <w:trPr>
          <w:trHeight w:val="608"/>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F-32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148" w:name="page149"/>
    <w:bookmarkEnd w:id="148"/>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EQUITY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the effective date of the Offering, ICIFC had no contributed capital or retained earnings recorded in its accounts. To properly reflect the historical financial operations of ICIFC, retained earnings were recorded as a result of net income or loss from operations on an adjusted historical basis, and contributed capital was recorded to fund ICIFC's assets in the amount of the shortfall of borrowings plus retained earnings. Under this criteria, allocated capital contributions were reflected in 1994 in the amount of $361,170.</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ICIFC did not record income taxes in its historical operations. The accompanying financial statements have been adjusted to reflect income taxes for ICIFC as if it had been a separate company. As a subsidiary of ICII, ICIFC would file a consolidated Federal income tax return and a combined California franchise tax return with ICII. ICII's tax allocation policy for financial statement purposes is to allocate income tax provision or benefit based on income (loss) before income taxes (benefit) of each entity within its consolidated group, adjusted for nontaxable or nondeductible items of income and expense.</w:t>
      </w:r>
    </w:p>
    <w:p>
      <w:pPr>
        <w:spacing w:after="0" w:line="214"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Effective January 1, 1993, ICIFC adopted SFAS 109, resulting in no material adjustment to income. Deferred tax assets and liabilities are recognized for the future tax consequences attributable to differences between the financial statement carrying amounts of existing assets and liabilities and their respective tax base.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MORTGAGE LOANS HELD FOR SALE</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Mortgage loans held for sale are stated at the lower of cost or market in the aggregate as determined by outstanding commitments from investors or current investor yield requirements.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Interest is recognized as revenue when earned according to the terms of the mortgage loans and when, in the opinion of management, it is collectible. Nonrefundable fees and direct costs associated with the origination or purchase of loans are deferred and recognized when the loans are sold as gain or loss on sale of mortgage loans.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PREMISES AND EQUIPMENT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Premises and equipment are stated at cost, less accumulated depreciation or amortization. Depreciation on premises and equipment is recorded using the straight-line method over the estimated useful lives of individual assets (three to seven years).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FORWARD CONTRACTS AND COMMITMENTS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order for ICII to maintain an orderly market for the loans it acquires, ICIFC sells mortgage-backed securities through forward delivery contracts. Income or loss on these contracts is recorded at the time of sale of the related contracts or loans as a component of the gain or loss on sale of the loan.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party to the contracts noted above failed completely to perform, ICIFC would be exposed to additional interest rate risk. The Company's principal hedging activity consists of optional and mandatory commitments to deliver closed mortgage loans to institutional investors, which do not require any collateral deposits.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717" w:right="1440" w:bottom="969" w:gutter="0" w:footer="0" w:header="0"/>
        </w:sectPr>
      </w:pPr>
    </w:p>
    <w:bookmarkStart w:id="149" w:name="page150"/>
    <w:bookmarkEnd w:id="149"/>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SERVICING INCOME</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Servicing income is reported as earned, principally on a cash basis when the majority of the service process is completed.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MORTGAGE SERVICING RIGHTS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Mortgage servicing rights (MSRs) represent the cost of acquiring the rights to service mortgage loans. ICIFC amortizes MSRs in proportion to, and over the period of, expected future net servicing income.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May 12, 1995, the Financial Accounting Standards Board issued SFAS No. 122, "Accounting for Mortgage Servicing Rights," an amendment to SFAS No. 65. ICIFC elected to adopt this standard retroactive to January 1, 1995 which had no impact on 1995 operations.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SFAS No. 122 requires that a portion of the mortgage loan's cost be allocated to the mortgage loan servicing right based on its fair value relative to the loan as a whole. To determine the fair value of the servicing rights created, ICIFC uses a valuation model that calculates the present value of future net servicing revenues to determine the fair value of the servicing rights. In using this valuation method, ICIFC incorporates assumptions that market participants would use in estimating future net servicing income which includes estimates of the cost of servicing, a discount rate, an inflation rate, ancillary income per loan, a prepayment rate, and a default rate.</w:t>
      </w:r>
    </w:p>
    <w:p>
      <w:pPr>
        <w:spacing w:after="0" w:line="18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ICIFC determines servicing value impairment by disaggregating ICIFC's servicing portfolio into its predominant risk characteristics. ICIFC determines those risk characteristics to be loan program type and interest rate. Interest rates are stratified using 100 basis point increments. These segments of the portfolio are then evaluated, using market prices under comparable servicing sale contracts, when available, or alternatively using a valuation model that calculates the present value of future net servicing revenues using current market assumptions at the end of the quarter. The calculated value is then compared to the capitalized recorded value of each loan type and interest rate segment to determine if a valuation allowance is required.</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ICIFC continuously evaluates its MSRs to determine if fair value is below the carrying values of its MSRs. If the undiscounted projected net future servicing income is less than the carrying amount of any individual mortgage servicing portfolio, the portfolio may have to be reduced through a provision recorded to increase the MSR valuation allowance in the period the fair value declined below the MSR's carrying value. In preparing its evaluation, ICIFC uses constant prepayment rates (CPR's) relating to interest rates on each portfolio, loan types, and maturity dates to determine the appropriate amount of amortization of the MSRs.</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SALES OF SERVICING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ICIFC recognizes gain or loss on the sale of servicing rights when the sales contract has been executed and the risks and rewards of ownership are determined to have passed to the purchasing party. Gains and losses are computed by deducting the basis in the servicing rights and any other costs associated with the sale from the purchase price.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ind w:right="2739" w:firstLine="211"/>
        <w:spacing w:after="0" w:line="290" w:lineRule="auto"/>
        <w:rPr>
          <w:sz w:val="20"/>
          <w:szCs w:val="20"/>
          <w:color w:val="auto"/>
        </w:rPr>
      </w:pPr>
      <w:r>
        <w:rPr>
          <w:rFonts w:ascii="Courier New" w:cs="Courier New" w:eastAsia="Courier New" w:hAnsi="Courier New"/>
          <w:sz w:val="16"/>
          <w:szCs w:val="16"/>
          <w:color w:val="auto"/>
        </w:rPr>
        <w:t>The Company accounts for its advertising costs as non-direct response advertising. Accordingly, advertising costs are expensed as incurred.</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717" w:right="1440" w:bottom="1440" w:gutter="0" w:footer="0" w:header="0"/>
        </w:sectPr>
      </w:pPr>
    </w:p>
    <w:bookmarkStart w:id="150" w:name="page151"/>
    <w:bookmarkEnd w:id="150"/>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Certain items in prior periods have been reclassified to conform to the current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LOANS HELD FOR INVESTMENT</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Activity in the allowance for loan losses for loans held for investment was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5"/>
              </w:rPr>
              <w:t>FOR THE YEAR</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860" w:type="dxa"/>
            <w:vAlign w:val="bottom"/>
          </w:tcPr>
          <w:p>
            <w:pPr>
              <w:spacing w:after="0"/>
              <w:rPr>
                <w:sz w:val="17"/>
                <w:szCs w:val="17"/>
                <w:color w:val="auto"/>
              </w:rPr>
            </w:pPr>
          </w:p>
        </w:tc>
        <w:tc>
          <w:tcPr>
            <w:tcW w:w="2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860" w:type="dxa"/>
            <w:vAlign w:val="bottom"/>
          </w:tcPr>
          <w:p>
            <w:pPr>
              <w:spacing w:after="0"/>
              <w:rPr>
                <w:sz w:val="17"/>
                <w:szCs w:val="17"/>
                <w:color w:val="auto"/>
              </w:rPr>
            </w:pP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w w:val="98"/>
              </w:rPr>
              <w:t>Balance, beginning of year.............................</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36,823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249,075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Provision for losses charged to expense................</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655,294</w:t>
            </w:r>
          </w:p>
        </w:tc>
        <w:tc>
          <w:tcPr>
            <w:tcW w:w="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Loans charged off......................................</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(692,117)</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(387,252)</w:t>
            </w:r>
          </w:p>
        </w:tc>
      </w:tr>
      <w:tr>
        <w:trPr>
          <w:trHeight w:val="203"/>
        </w:trPr>
        <w:tc>
          <w:tcPr>
            <w:tcW w:w="5860" w:type="dxa"/>
            <w:vAlign w:val="bottom"/>
          </w:tcPr>
          <w:p>
            <w:pPr>
              <w:spacing w:after="0"/>
              <w:rPr>
                <w:sz w:val="17"/>
                <w:szCs w:val="17"/>
                <w:color w:val="auto"/>
              </w:rPr>
            </w:pP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Balance, end of year...................................</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36,823</w:t>
            </w:r>
          </w:p>
        </w:tc>
      </w:tr>
      <w:tr>
        <w:trPr>
          <w:trHeight w:val="203"/>
        </w:trPr>
        <w:tc>
          <w:tcPr>
            <w:tcW w:w="5860" w:type="dxa"/>
            <w:vAlign w:val="bottom"/>
          </w:tcPr>
          <w:p>
            <w:pPr>
              <w:spacing w:after="0"/>
              <w:rPr>
                <w:sz w:val="17"/>
                <w:szCs w:val="17"/>
                <w:color w:val="auto"/>
              </w:rPr>
            </w:pP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There were no loans held for investment at March 31, 1996 (unaudited), December 31, 1995, March 31, 1995 (unaudited) or December 31,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MORTGAGE LOANS HELD FOR SALE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Mortgage loans held for sale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MARCH 31,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32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spacing w:after="0"/>
              <w:rPr>
                <w:sz w:val="17"/>
                <w:szCs w:val="17"/>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w w:val="98"/>
              </w:rPr>
              <w:t>Mortgage loans held for sale......................</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$176,524,309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$536,356,411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Premium on loans..................................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3,106,224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7,918,551</w:t>
            </w:r>
          </w:p>
        </w:tc>
      </w:tr>
      <w:tr>
        <w:trPr>
          <w:trHeight w:val="203"/>
        </w:trPr>
        <w:tc>
          <w:tcPr>
            <w:tcW w:w="5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$179,630,533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$544,274,962</w:t>
            </w:r>
          </w:p>
        </w:tc>
      </w:tr>
      <w:tr>
        <w:trPr>
          <w:trHeight w:val="203"/>
        </w:trPr>
        <w:tc>
          <w:tcPr>
            <w:tcW w:w="5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 were no mortgage loans held for sale as of December 31, 1994.</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Substantially all of the mortgage loans purchased by ICIFC are fixed-rate or adjustable-rate conforming mortgage loans secured by first liens on single-family residential properties. Because of the concentration of the Company's mortgage loans located in California, which was 60% at December 31, 1995, a significant decline in regional economic conditions, or some other regional catastrophe, could result in fewer mortgage loans available for lending by the Company and ultimately a decline in interest income and fee income. Moreover, such an event or events could affect the ability of borrowers to payoff their loan with the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PREMISES AND EQUIPMENT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Premises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9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Premises and equipment........................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$525,000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$733,431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$852,402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accumulated depreciation.................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217,181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208,431</w:t>
            </w:r>
          </w:p>
        </w:tc>
      </w:tr>
    </w:tbl>
    <w:p>
      <w:pPr>
        <w:sectPr>
          <w:pgSz w:w="11900" w:h="16838" w:orient="portrait"/>
          <w:cols w:equalWidth="0" w:num="1">
            <w:col w:w="10219"/>
          </w:cols>
          <w:pgMar w:left="240" w:top="717" w:right="1440" w:bottom="0" w:gutter="0" w:footer="0" w:header="0"/>
        </w:sectPr>
      </w:pPr>
    </w:p>
    <w:bookmarkStart w:id="151" w:name="page152"/>
    <w:bookmarkEnd w:id="151"/>
    <w:p>
      <w:pPr>
        <w:spacing w:after="0" w:line="1" w:lineRule="exact"/>
        <w:rPr>
          <w:sz w:val="20"/>
          <w:szCs w:val="20"/>
          <w:color w:val="auto"/>
        </w:rPr>
      </w:pPr>
    </w:p>
    <w:tbl>
      <w:tblPr>
        <w:tblLayout w:type="fixed"/>
        <w:tblInd w:w="4180" w:type="dxa"/>
        <w:tblCellMar>
          <w:top w:w="0" w:type="dxa"/>
          <w:left w:w="0" w:type="dxa"/>
          <w:bottom w:w="0" w:type="dxa"/>
          <w:right w:w="0" w:type="dxa"/>
        </w:tblCellMar>
      </w:tblPr>
      <w:tr>
        <w:trPr>
          <w:trHeight w:val="204"/>
        </w:trPr>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$490,000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$516,250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$643,971</w:t>
            </w:r>
          </w:p>
        </w:tc>
      </w:tr>
      <w:tr>
        <w:trPr>
          <w:trHeight w:val="203"/>
        </w:trPr>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9019"/>
          </w:cols>
          <w:pgMar w:left="1440" w:top="136" w:right="1440" w:bottom="1440" w:gutter="0" w:footer="0" w:header="0"/>
        </w:sectPr>
      </w:pPr>
    </w:p>
    <w:bookmarkStart w:id="152" w:name="page153"/>
    <w:bookmarkEnd w:id="152"/>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MORTGAGE SERVICING RIGHTS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Changes in mortgage servicing rights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26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w:t>
            </w:r>
          </w:p>
        </w:tc>
        <w:tc>
          <w:tcPr>
            <w:tcW w:w="1360" w:type="dxa"/>
            <w:vAlign w:val="bottom"/>
          </w:tcPr>
          <w:p>
            <w:pPr>
              <w:spacing w:after="0"/>
              <w:rPr>
                <w:sz w:val="17"/>
                <w:szCs w:val="17"/>
                <w:color w:val="auto"/>
              </w:rPr>
            </w:pPr>
          </w:p>
        </w:tc>
        <w:tc>
          <w:tcPr>
            <w:tcW w:w="416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Beginning Balance.......</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$11,453,240</w:t>
            </w:r>
          </w:p>
        </w:tc>
        <w:tc>
          <w:tcPr>
            <w:tcW w:w="1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$ 11,453,240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$ 9,550,763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2,670,945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1,155,334</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4,000,429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8,781,244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12,435,238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of servicing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rights.................</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(545,403)</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(880,389)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(4,808,380)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(2,425,242)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(14,319)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(447,650)</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(2,892,341)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(2,070,387)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(459,233)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Transfer to ICII........</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(11,680,939)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Ending balance..........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2,656,626</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$11,615,521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$11,453,240</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$ 9,550,763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COST ALLOCATIONS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ICIFC was allocated various costs from ICII. The costs of these services were not directly attributable to ICIFC and primarily include general corporate overhead such as human resources, data processing, telephone and other communications and general and administrative expense (including loan administration costs, accounting, legal and insurance). These expenses were allocated by ICII to all divisions based typically either on a per employee basis, based on origination volume or an even allocation of total expense. Management believes these methods of allocation are reasonable. Total allocations of expense for the period January 1, 1995 through November 19, 1995, for the three months ended March 31, 1995 (unaudited) and for the years endedDecember 31, 1994 and 1993 were $222,361, $65,237, $460,638 and $406,421, respectively.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effective date of the Initial Public Offering, ICIFC entered into a services agreement with ICII under which ICII provides various services to ICIFC, including data processing, human resource administration, general ledger accounts, check processing, remittance processing and payment of accounts payable. ICII charges fees for each of the services based upon usage. As part of the services, ICII provides ICIFC with insurance coverage and self insurance programs, including health insurance. The charge to ICIFC for coverage is based upon a pro rata portion of the costs to ICII for its various policies which amounted to $96,692 and $24,669 for the three months ended March 31, 1996 (unaudited) and the period November 20, 1995 through December 31, 1995.</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SUB-SERVICING</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For all periods presented in ICIFC's financial statements, ICII provided sub-servicing to ICIFC for a sub-servicing fee of approximately $7.50 per loan per month, which management believes to be a market rate. The sub-servicing fee offsets "Loan Servicing Income" in the accompanying statements of operations of ICIFC and amounted to $96,415, $292,696, $1,100,259, $1,054,940 and $442,039 for the three months ended March 31, 1996 and 1995 (unaudited) and for the years ended December 31, 1995, 1994 and 1993, respectively.</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the Contribution Transaction ICIFC had no cash accounts. All operations were funded directly by ICII. Adjustments were made to ICIFC's financial statements to reflect these fundings as Borrowings from ICII. ICIFC did not reflect any accounts receivable or payable on its balance sheets prior to the Contribution Transaction because all transactions of ICIFC either increased or decreased its borrowings from ICII.</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717" w:right="1440" w:bottom="0" w:gutter="0" w:footer="0" w:header="0"/>
        </w:sectPr>
      </w:pPr>
    </w:p>
    <w:bookmarkStart w:id="153" w:name="page154"/>
    <w:bookmarkEnd w:id="153"/>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At March 31, 1996 (unaudited), $1,468,178 of the mortgage servicing rights relate to $310 million of mortgage loans sold, servicing retained by ICIFC, to IMH in March 1996.</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BORROWINGS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a $600 million warehouse borrowing agreement with IWLG of which $173 million and $550 million was outstanding at March 31, 1996 (unaudited) and December 31, 1995, respectively. Interest expense recorded related to this borrowing was $11,219,048 and $1,348,424 for the three months endedMarch 31, 1996 (unaudited) and for the year ended December 31, 1995, respectively.</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BULK MORTGAGE LOAN PURCHASES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During the first quarter of 1996, ICIFC purchased from ICII bulk mortgage</w:t>
      </w:r>
    </w:p>
    <w:p>
      <w:pPr>
        <w:spacing w:after="0" w:line="238" w:lineRule="auto"/>
        <w:rPr>
          <w:sz w:val="20"/>
          <w:szCs w:val="20"/>
          <w:color w:val="auto"/>
        </w:rPr>
      </w:pPr>
      <w:r>
        <w:rPr>
          <w:rFonts w:ascii="Courier New" w:cs="Courier New" w:eastAsia="Courier New" w:hAnsi="Courier New"/>
          <w:sz w:val="18"/>
          <w:szCs w:val="18"/>
          <w:color w:val="auto"/>
        </w:rPr>
        <w:t>loans packages of 30-year fully amortizing six-month adjustable LIBOR and 30</w:t>
      </w:r>
    </w:p>
    <w:p>
      <w:pPr>
        <w:spacing w:after="0"/>
        <w:rPr>
          <w:sz w:val="20"/>
          <w:szCs w:val="20"/>
          <w:color w:val="auto"/>
        </w:rPr>
      </w:pPr>
      <w:r>
        <w:rPr>
          <w:rFonts w:ascii="Courier New" w:cs="Courier New" w:eastAsia="Courier New" w:hAnsi="Courier New"/>
          <w:sz w:val="18"/>
          <w:szCs w:val="18"/>
          <w:color w:val="auto"/>
        </w:rPr>
        <w:t>and 15-year fixed rate first and second trust deed mortgages having a</w:t>
      </w:r>
    </w:p>
    <w:p>
      <w:pPr>
        <w:spacing w:after="0" w:line="237" w:lineRule="auto"/>
        <w:rPr>
          <w:sz w:val="20"/>
          <w:szCs w:val="20"/>
          <w:color w:val="auto"/>
        </w:rPr>
      </w:pPr>
      <w:r>
        <w:rPr>
          <w:rFonts w:ascii="Courier New" w:cs="Courier New" w:eastAsia="Courier New" w:hAnsi="Courier New"/>
          <w:sz w:val="18"/>
          <w:szCs w:val="18"/>
          <w:color w:val="auto"/>
        </w:rPr>
        <w:t>principal balance of $35,699,366 and $128,596,159 with premiums paid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$950,888 and $2,380,949, respectively. Servicing rights on all mortgage loans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were released to ICIFC.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December 5, 1995 and December 13, 1995, ICIFC purchased from ICII bulk mortgage loan packages of 30-year fully amortizing six-month adjustable LIBOR and one-year adjustable Treasury Bill rate loans and 30 and 15-year fixed rate second trust deed mortgages with servicing rights on all mortgage loans released to ICIFC. The principal balances of the mortgages at the time of purchase was $106,717,842 and $66,242,188, respectively, with a premium paid of $2,082,963 and $1,581,194, respectively.</w:t>
      </w:r>
    </w:p>
    <w:p>
      <w:pPr>
        <w:spacing w:after="0" w:line="211"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On December 29, 1995, ICIFC purchased from SPTL two bulk mortgage loan packages consisting primarily of 30-year fully amortizing six-month adjustable LIBOR, one-year adjustable Treasury Bill rate loans and 15 and 30-year fixed rate loans. The principal balances of the loans in the servicing released and servicing retained bulk package at the time of purchase was $299,971,602 and $28,479,009 with premiums paid of $3,374,681 and $142,395, respectively.</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BULK MORTGAGE LOAN SALES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March 29, 1996, ICIFC sold to IMH bulk mortgage loans packages of 30-year fully amortized six-month adjustable LIBOR and 15-year fixed rate second trust deed mortgages having a principal balance of $276,273,072 and $34,725,305 with premiums paid of $2,762,731 and $1,171,979, respectively. In conjunction with this sale, ICIFC recorded originated mortgage servicing rights of $1,468,178 and a deferred gain of $571,615, which will be amortized over the life of the loans.</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OCCUPANCY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Subsequent to the Contribution Transaction, the Company is allocated rent expense from IMH based on number of employees. Such allocation was $12,210 for the period November 21, 1995 through December 31, 1995.</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NON-COMPETE AGREEMENT AND RIGHT OF FIRST REFUSAL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Non-Compete Agreement, ICII and any entity of which ICII owns more than 25% of the voting securities (a 25% entity) may not compete with IWLG's Warehouse Lending Operations and may not establish a network of third party correspondent loan originators or another end-investor in non-conforming mortgage loans. The agreement expires two years from the effective date of the Offering.</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717" w:right="1440" w:bottom="1440" w:gutter="0" w:footer="0" w:header="0"/>
        </w:sectPr>
      </w:pPr>
    </w:p>
    <w:bookmarkStart w:id="154" w:name="page155"/>
    <w:bookmarkEnd w:id="154"/>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the Right of First Refusal Agreement, ICII granted ICIFC a right of first refusal to purchase all non-conforming mortgage loans that ICII or any 25% entity originates or acquires and subsequently offers for sale and ICIFC granted ICII, or any 25% entity designated by ICII, a right of first refusal to purchase all non-conforming mortgage loans that ICIFC acquires and subsequently offers for sale. In addition, for a period of the earlier of nine months from the effective date of the Offering and that date upon which IMH accumulates $300 million of mortgage loans and/or mortgage-backed securities, neither ICII nor any 25% entity will be permitted to purchase any non-conforming bulk loan package having a principal balance of $50 million or more without first allowing ICIFC the opportunity to bid to purchase said package.</w:t>
      </w:r>
    </w:p>
    <w:p>
      <w:pPr>
        <w:spacing w:after="0" w:line="188"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Additional related party transactions are described elsewhere in the financial statement footnotes.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INCOME TAXES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Financial Accounting Standards Board issued Statement No. 109, "Accounting For Income Taxes" (SFAS 109) which was effective for fiscal years beginning after December 15, 1992. ICIFC adopted SFAS 109 on January 1, 1993 on a prospective basis. Implementation of SFAS 109 had no material impact on ICIFC's financial position or results of operations for the year ended December 31, 1993.</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ICIFC's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354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4580" w:type="dxa"/>
            <w:vAlign w:val="bottom"/>
          </w:tcPr>
          <w:p>
            <w:pPr>
              <w:spacing w:after="0"/>
              <w:rPr>
                <w:sz w:val="17"/>
                <w:szCs w:val="17"/>
                <w:color w:val="auto"/>
              </w:rPr>
            </w:pP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8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Federal..................................</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862,926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$(316,465)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(769,178)</w:t>
            </w: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169,241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(265,259)</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current..............................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1,032,167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(425,602)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(1,034,437)</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Federal..................................</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11,614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605,643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3,048,990</w:t>
            </w: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208,863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1,051,476</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deferred.............................</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36,889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814,506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4,100,466</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income taxes.........................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1,069,056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$ 388,904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$3,066,029</w:t>
            </w:r>
          </w:p>
        </w:tc>
      </w:tr>
      <w:tr>
        <w:trPr>
          <w:trHeight w:val="203"/>
        </w:trPr>
        <w:tc>
          <w:tcPr>
            <w:tcW w:w="4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income tax provision differs from statutory Federal corporate income tax rate primarily due to state income taxes.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Deferred income taxes arise from differences in the bases of assets and liabilities for tax and financial reporting purposes. The following table shows the primary components of ICIFC's net deferred tax liability at December 31, 1995 and 1994.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1995</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60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3332"/>
              <w:spacing w:after="0"/>
              <w:rPr>
                <w:sz w:val="20"/>
                <w:szCs w:val="20"/>
                <w:color w:val="auto"/>
              </w:rPr>
            </w:pPr>
            <w:r>
              <w:rPr>
                <w:rFonts w:ascii="Courier New" w:cs="Courier New" w:eastAsia="Courier New" w:hAnsi="Courier New"/>
                <w:sz w:val="18"/>
                <w:szCs w:val="18"/>
                <w:color w:val="auto"/>
                <w:w w:val="97"/>
              </w:rPr>
              <w:t>Deferred tax liabilities: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Mortgage servicing rights..............................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$4,810,361</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tax benefit......................................</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10,967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10,967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$4,810,361</w:t>
            </w:r>
          </w:p>
        </w:tc>
      </w:tr>
      <w:tr>
        <w:trPr>
          <w:trHeight w:val="203"/>
        </w:trPr>
        <w:tc>
          <w:tcPr>
            <w:tcW w:w="6060" w:type="dxa"/>
            <w:vAlign w:val="bottom"/>
          </w:tcPr>
          <w:p>
            <w:pPr>
              <w:spacing w:after="0"/>
              <w:rPr>
                <w:sz w:val="17"/>
                <w:szCs w:val="17"/>
                <w:color w:val="auto"/>
              </w:rPr>
            </w:pP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0" w:lineRule="exact"/>
        <w:rPr>
          <w:sz w:val="20"/>
          <w:szCs w:val="20"/>
          <w:color w:val="auto"/>
        </w:rPr>
      </w:pP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ICIFC's net deferred tax liabilities are included on the balance sheets in other assets and borrowings from ICII at December 31, 1995 and 1994, respectively.</w:t>
      </w:r>
    </w:p>
    <w:p>
      <w:pPr>
        <w:sectPr>
          <w:pgSz w:w="11900" w:h="16838" w:orient="portrait"/>
          <w:cols w:equalWidth="0" w:num="1">
            <w:col w:w="10219"/>
          </w:cols>
          <w:pgMar w:left="240" w:top="717" w:right="1440" w:bottom="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There were no deferred tax assets at December 31, 1995 and 1994.</w:t>
      </w:r>
    </w:p>
    <w:p>
      <w:pPr>
        <w:sectPr>
          <w:pgSz w:w="11900" w:h="16838" w:orient="portrait"/>
          <w:cols w:equalWidth="0" w:num="1">
            <w:col w:w="9999"/>
          </w:cols>
          <w:pgMar w:left="460" w:top="344" w:right="1440" w:bottom="1440" w:gutter="0" w:footer="0" w:header="0"/>
        </w:sectPr>
      </w:pPr>
    </w:p>
    <w:p>
      <w:pPr>
        <w:spacing w:after="0" w:line="22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9999"/>
          </w:cols>
          <w:pgMar w:left="460" w:top="344" w:right="1440" w:bottom="1440" w:gutter="0" w:footer="0" w:header="0"/>
          <w:type w:val="continuous"/>
        </w:sectPr>
      </w:pPr>
    </w:p>
    <w:bookmarkStart w:id="156" w:name="page157"/>
    <w:bookmarkEnd w:id="156"/>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DISCLOSURES ABOUT FAIR VALUE OF FINANCIAL INSTRUMENTS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following disclosure of the estimated fair value of financial instruments is made in accordance with the requirements of Statement of Financial Accounting Standards (SFAS) No. 107, "Disclosures About Fair Value of Financial Instruments," and SFAS No. 119, "Disclosures About Derivative Financial Instruments and Fair Value of Financial Instruments." The estimated fair value amounts have been determined by ICIFC using available market information and appropriate valuation methodologies, however, considerable judgment is necessarily required to interpret market data to develop the estimates of fair value. Accordingly, the estimates presented herein are not necessarily indicative of the amounts ICIFC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DECEMBER 31, 1995</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CARRYING ESTIMATED</w:t>
      </w:r>
    </w:p>
    <w:p>
      <w:pPr>
        <w:spacing w:after="0" w:line="4" w:lineRule="exact"/>
        <w:rPr>
          <w:sz w:val="20"/>
          <w:szCs w:val="20"/>
          <w:color w:val="auto"/>
        </w:rPr>
      </w:pPr>
    </w:p>
    <w:p>
      <w:pPr>
        <w:ind w:left="6440"/>
        <w:spacing w:after="0"/>
        <w:tabs>
          <w:tab w:leader="none" w:pos="7260" w:val="left"/>
        </w:tabs>
        <w:rPr>
          <w:sz w:val="20"/>
          <w:szCs w:val="20"/>
          <w:color w:val="auto"/>
        </w:rPr>
      </w:pPr>
      <w:r>
        <w:rPr>
          <w:rFonts w:ascii="Courier New" w:cs="Courier New" w:eastAsia="Courier New" w:hAnsi="Courier New"/>
          <w:sz w:val="16"/>
          <w:szCs w:val="16"/>
          <w:color w:val="auto"/>
        </w:rPr>
        <w:t>AMOUNT</w:t>
        <w:tab/>
        <w:t>FAIR VALUE</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(DOLLARS IN</w:t>
      </w:r>
    </w:p>
    <w:p>
      <w:pPr>
        <w:ind w:left="6740"/>
        <w:spacing w:after="0" w:line="238" w:lineRule="auto"/>
        <w:rPr>
          <w:sz w:val="20"/>
          <w:szCs w:val="20"/>
          <w:color w:val="auto"/>
        </w:rPr>
      </w:pPr>
      <w:r>
        <w:rPr>
          <w:rFonts w:ascii="Courier New" w:cs="Courier New" w:eastAsia="Courier New" w:hAnsi="Courier New"/>
          <w:sz w:val="18"/>
          <w:szCs w:val="18"/>
          <w:color w:val="auto"/>
        </w:rPr>
        <w:t>THOUSANDS)</w:t>
      </w:r>
    </w:p>
    <w:p>
      <w:pPr>
        <w:sectPr>
          <w:pgSz w:w="11900" w:h="16838" w:orient="portrait"/>
          <w:cols w:equalWidth="0" w:num="1">
            <w:col w:w="10219"/>
          </w:cols>
          <w:pgMar w:left="240" w:top="717" w:right="1440" w:bottom="767" w:gutter="0" w:footer="0" w:header="0"/>
        </w:sectPr>
      </w:pP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Assets: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Mortgage loans held for sale..........................</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ind w:left="540"/>
        <w:spacing w:after="0"/>
        <w:rPr>
          <w:sz w:val="20"/>
          <w:szCs w:val="20"/>
          <w:color w:val="auto"/>
        </w:rPr>
      </w:pPr>
      <w:r>
        <w:rPr>
          <w:rFonts w:ascii="Courier New" w:cs="Courier New" w:eastAsia="Courier New" w:hAnsi="Courier New"/>
          <w:sz w:val="18"/>
          <w:szCs w:val="18"/>
          <w:color w:val="auto"/>
        </w:rPr>
        <w:t>Borrowings from IWLG..................................</w:t>
      </w:r>
    </w:p>
    <w:p>
      <w:pPr>
        <w:ind w:left="540"/>
        <w:spacing w:after="0" w:line="237" w:lineRule="auto"/>
        <w:rPr>
          <w:sz w:val="20"/>
          <w:szCs w:val="20"/>
          <w:color w:val="auto"/>
        </w:rPr>
      </w:pPr>
      <w:r>
        <w:rPr>
          <w:rFonts w:ascii="Courier New" w:cs="Courier New" w:eastAsia="Courier New" w:hAnsi="Courier New"/>
          <w:sz w:val="18"/>
          <w:szCs w:val="18"/>
          <w:color w:val="auto"/>
        </w:rPr>
        <w:t>Off balance-sheet commitments, unrealized gains</w:t>
      </w:r>
    </w:p>
    <w:p>
      <w:pPr>
        <w:ind w:left="640"/>
        <w:spacing w:after="0" w:line="238" w:lineRule="auto"/>
        <w:rPr>
          <w:sz w:val="20"/>
          <w:szCs w:val="20"/>
          <w:color w:val="auto"/>
        </w:rPr>
      </w:pPr>
      <w:r>
        <w:rPr>
          <w:rFonts w:ascii="Courier New" w:cs="Courier New" w:eastAsia="Courier New" w:hAnsi="Courier New"/>
          <w:sz w:val="18"/>
          <w:szCs w:val="18"/>
          <w:color w:val="auto"/>
        </w:rPr>
        <w:t>(losses).............................................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tabs>
          <w:tab w:leader="none" w:pos="920" w:val="left"/>
          <w:tab w:leader="none" w:pos="1240" w:val="left"/>
        </w:tabs>
        <w:rPr>
          <w:sz w:val="20"/>
          <w:szCs w:val="20"/>
          <w:color w:val="auto"/>
        </w:rPr>
      </w:pPr>
      <w:r>
        <w:rPr>
          <w:rFonts w:ascii="Courier New" w:cs="Courier New" w:eastAsia="Courier New" w:hAnsi="Courier New"/>
          <w:sz w:val="18"/>
          <w:szCs w:val="18"/>
          <w:color w:val="auto"/>
        </w:rPr>
        <w:t>2,184</w:t>
        <w:tab/>
        <w:t>$</w:t>
      </w:r>
      <w:r>
        <w:rPr>
          <w:sz w:val="20"/>
          <w:szCs w:val="20"/>
          <w:color w:val="auto"/>
        </w:rPr>
        <w:tab/>
      </w:r>
      <w:r>
        <w:rPr>
          <w:rFonts w:ascii="Courier New" w:cs="Courier New" w:eastAsia="Courier New" w:hAnsi="Courier New"/>
          <w:sz w:val="16"/>
          <w:szCs w:val="16"/>
          <w:color w:val="auto"/>
        </w:rPr>
        <w:t>2,184</w:t>
      </w:r>
    </w:p>
    <w:p>
      <w:pPr>
        <w:spacing w:after="0" w:line="238" w:lineRule="auto"/>
        <w:tabs>
          <w:tab w:leader="none" w:pos="1020" w:val="left"/>
        </w:tabs>
        <w:rPr>
          <w:sz w:val="20"/>
          <w:szCs w:val="20"/>
          <w:color w:val="auto"/>
        </w:rPr>
      </w:pPr>
      <w:r>
        <w:rPr>
          <w:rFonts w:ascii="Courier New" w:cs="Courier New" w:eastAsia="Courier New" w:hAnsi="Courier New"/>
          <w:sz w:val="18"/>
          <w:szCs w:val="18"/>
          <w:color w:val="auto"/>
        </w:rPr>
        <w:t>544,273</w:t>
        <w:tab/>
        <w:t>544,273</w:t>
      </w:r>
    </w:p>
    <w:p>
      <w:pPr>
        <w:spacing w:after="0" w:line="20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550,291</w:t>
        <w:tab/>
        <w:t>550,291</w:t>
      </w:r>
    </w:p>
    <w:p>
      <w:pPr>
        <w:spacing w:after="0" w:line="207" w:lineRule="exact"/>
        <w:rPr>
          <w:sz w:val="20"/>
          <w:szCs w:val="20"/>
          <w:color w:val="auto"/>
        </w:rPr>
      </w:pPr>
    </w:p>
    <w:p>
      <w:pPr>
        <w:ind w:left="420"/>
        <w:spacing w:after="0"/>
        <w:tabs>
          <w:tab w:leader="none" w:pos="1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(38,021)</w:t>
      </w:r>
    </w:p>
    <w:p>
      <w:pPr>
        <w:spacing w:after="0" w:line="216" w:lineRule="exact"/>
        <w:rPr>
          <w:sz w:val="20"/>
          <w:szCs w:val="20"/>
          <w:color w:val="auto"/>
        </w:rPr>
      </w:pPr>
    </w:p>
    <w:p>
      <w:pPr>
        <w:sectPr>
          <w:pgSz w:w="11900" w:h="16838" w:orient="portrait"/>
          <w:cols w:equalWidth="0" w:num="2">
            <w:col w:w="6440" w:space="0"/>
            <w:col w:w="3779"/>
          </w:cols>
          <w:pgMar w:left="240" w:top="717" w:right="1440" w:bottom="767" w:gutter="0" w:footer="0" w:header="0"/>
          <w:type w:val="continuous"/>
        </w:sectPr>
      </w:pP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fair value estimates as of December 31, 1995 are based on pertinent information available to management as of that date. Although management is not aware of any factors that would significantly affect the estimated fair value amounts, such amounts have not been comprehensively revalued for purposes of these financial statements since those dates and, therefore, current estimates of fair value may differ significantly from the amounts presented herein.</w:t>
      </w:r>
    </w:p>
    <w:p>
      <w:pPr>
        <w:spacing w:after="0" w:line="211"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following describes the methods and assumptions used by ICIFC in estimating fair values.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carrying amount for cash approximates fair value because these instruments are demand deposits and do not present unanticipated interest rate or credit concerns.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MORTGAGE LOANS HELD FOR SALE</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fair value of mortgage loans held for sale is estimated based on quoted market prices from dealers and brokers for similar types of mortgage loans.</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BORROWINGS FROM IWLG</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Fair values approximate the carrying amounts because of the short-term maturity of the liabilities.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OFF BALANCE SHEET COMMITMENTS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fair value of commitments to purchase mortgage loans is equal to the unamortized commitment fee received by the Company from sellers to purchase such mortgage loans.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717" w:right="1440" w:bottom="767" w:gutter="0" w:footer="0" w:header="0"/>
          <w:type w:val="continuous"/>
        </w:sectPr>
      </w:pPr>
    </w:p>
    <w:bookmarkStart w:id="157" w:name="page158"/>
    <w:bookmarkEnd w:id="157"/>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0" w:lineRule="exact"/>
        <w:rPr>
          <w:sz w:val="20"/>
          <w:szCs w:val="20"/>
          <w:color w:val="auto"/>
        </w:rPr>
      </w:pPr>
    </w:p>
    <w:p>
      <w:pPr>
        <w:spacing w:after="0" w:line="209" w:lineRule="exact"/>
        <w:rPr>
          <w:sz w:val="20"/>
          <w:szCs w:val="20"/>
          <w:color w:val="auto"/>
        </w:rPr>
      </w:pPr>
    </w:p>
    <w:p>
      <w:pPr>
        <w:ind w:left="120" w:right="6939" w:hanging="112"/>
        <w:spacing w:after="0" w:line="536" w:lineRule="auto"/>
        <w:tabs>
          <w:tab w:leader="none" w:pos="33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PROFIT SHARING AND 401(K) PLAN</w:t>
      </w:r>
    </w:p>
    <w:p>
      <w:pPr>
        <w:spacing w:after="0" w:line="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Prior to July 1, 1993, Imperial Bancorp (the majority shareholder of ICII) had a noncontributory profit sharing plan in which employees the Company were eligible to participate at year end if they had been employed for at least 1,000 hours during the year. For 1993, there was no contribution charged to operations.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Imperial Bancorp also had a 401(k) plan in which all employees of ICIFC had been eligible to participate. On July 1, 1993, ICII terminated its participation in Imperial Bancorp's 401(k) and profit sharing plans, establishing its own 401(k) plan (the Plan) in which employees of ICIFC were eligible to participate. On September 30, 1993, Imperial Bancorp transferred all plan assets to ICII.</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ICII's 401(k) plan, employees of the Company may contribute up to 14% of their salaries. The Company will match 50% of the first 4% of employee contributions. An additional Company contribution may be made at the discretion of ICIFC.</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ICIFC does not have its own 401(k) or profit sharing plan. As such, employees of ICIFC participate in ICII's 401(k) plan. The Company's matching and discretionary contributions were not significant for any period presented.</w:t>
      </w:r>
    </w:p>
    <w:p>
      <w:pPr>
        <w:spacing w:after="0" w:line="178" w:lineRule="exact"/>
        <w:rPr>
          <w:sz w:val="20"/>
          <w:szCs w:val="20"/>
          <w:color w:val="auto"/>
        </w:rPr>
      </w:pPr>
    </w:p>
    <w:p>
      <w:pPr>
        <w:ind w:left="120" w:right="6739" w:hanging="112"/>
        <w:spacing w:after="0" w:line="470" w:lineRule="auto"/>
        <w:tabs>
          <w:tab w:leader="none" w:pos="43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LOAN SERVICING</w:t>
      </w:r>
    </w:p>
    <w:p>
      <w:pPr>
        <w:spacing w:after="0" w:line="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of December 31, 1994, ICIFC was servicing loans for others totaling approximately $1.9 billion. Properties securing the mortgage loans in ICIFC's servicing portfolio are primarily located in California. No loans were serviced for others at December 31, 1995.</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Related fiduciary funds are held in trust for investors in non-interest bearing accounts. These funds are segregated in special bank accounts and are held as deposits at SPTL.</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SALES OF LOANS AND SERVICING RIGHTS</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In the ordinary course of business, ICIFC is exposed to liability under representations and warranties made to purchasers and insurers of mortgage loans and the purchasers of servicing rights. Under certain circumstances, ICIFC is required to repurchase mortgage loans if there has been a breach of representations or warranties. In the opinion of management, the potential exposure related to these representations and warranties will not have a material adverse effect on the financial position and operating results of</w:t>
      </w:r>
    </w:p>
    <w:p>
      <w:pPr>
        <w:spacing w:after="0" w:line="234" w:lineRule="auto"/>
        <w:rPr>
          <w:sz w:val="20"/>
          <w:szCs w:val="20"/>
          <w:color w:val="auto"/>
        </w:rPr>
      </w:pPr>
      <w:r>
        <w:rPr>
          <w:rFonts w:ascii="Courier New" w:cs="Courier New" w:eastAsia="Courier New" w:hAnsi="Courier New"/>
          <w:sz w:val="18"/>
          <w:szCs w:val="18"/>
          <w:color w:val="auto"/>
        </w:rPr>
        <w:t>ICIFC.</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the year ended December 31, 1994, ICIFC retained servicing rights on $1.6 billion of mortgage loans sold and released servicing rights to the purchasers on $199 million of mortgage loans sold. During the year ended December 31, 1993, ICIFC retained servicing rights on $1.2 billion of mortgage loans sold and released servicing rights to the purchasers on $552 million of mortgage loans sold.</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ICIFC establishes mortgage loan purchase commitments (master commitments) with sellers that, subject to certain conditions, entitle the seller to sell and obligate ICIFC to purchase a specified dollar amount of non-conforming mortgage loans over a period generally ranging from six months to one year. The terms of each master commitment specify whether a seller may sell loans to ICIFC on a mandatory, best efforts or optional</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717" w:right="1440" w:bottom="970" w:gutter="0" w:footer="0" w:header="0"/>
        </w:sectPr>
      </w:pPr>
    </w:p>
    <w:bookmarkStart w:id="158" w:name="page159"/>
    <w:bookmarkEnd w:id="158"/>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NOTES TO FINANCIAL STATEMENTS--(CONTINUED)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basis, or a combination thereof. Master commitments generally do not obligate ICIFC to purchase loans at a specific price, but rather provide the seller with a future outlet for the sale of its originated loans based on ICIFC's quoted prices at the time of purchase.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ICIFC may from time to time provide provisions for loan losses related to estimating losses from the breach of a standard representation and warranty on mortgage loans previously sold. ICIFC recorded such provision for the three months ended March 31, 1996 of $400,000.</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of March 31, 1996 (unaudited) and December 31, 1995, ICIFC had outstanding short term master commitments with 28 and 18 sellers to purchase mortgage loans in the aggregate principal amount of approximately $595.0 million and $241.0 million over periods ranging from six months to one year, of which $93.1 million and $35.7 million, respectively, had been purchased or committed to be purchased pursuant to rate locks. These rate-locks were made pursuant to master commitments, bulk rate-locks and other negotiated rate-locks. There is no exposure to credit loss in this type of commitment until the loans are funded, and interest rate risk associated with the short-term commitments is mitigated by the use of forward contracts to sell loans to investors.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FORWARD CONTRACTS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sells mortgage-backed securities through forward delivery contracts with major dealers in such securities. At March 31, 1996 and December 31, 1995, the Company had $125,000,000 and $86,700,000, respectively, in outstanding commitments to sell mortgage loans through mortgage-backed securities. These commitments allow the Company to enter into mandatory commitments when the Company notifies the investor of its intent to exercise a portion of the forward delivery contracts. The Company was not obligated under mandatory commitments to deliver loans to such investors at March 31, 1996 and December 31, 1995.</w:t>
      </w:r>
    </w:p>
    <w:p>
      <w:pPr>
        <w:spacing w:after="0" w:line="214"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credit risk of forward contracts relates to the counterparties' ability to perform under the contract. The Company evaluates counterparties based on their ability to perform prior to entering into any agreements.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order to protect against changes in the value of mortgage loans held for sale, the Company may sell call or buy put options on U.S. Treasury bonds and mortgage-backed securities. The Company generally sells call or buys put options to hedge against adverse movements of interest rates affecting the value of its mortgage loans held for sale.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risk in writing a call option is that the Company gives up the opportunity for profit if the market price of the mortgage loans increases and the option is exercised. The Company also has the additional risk of not being able to enter into a closing transaction if a liquid secondary market does not exist. The risk of buying a put option is limited to the premium the Company paid for the put option.</w:t>
      </w:r>
    </w:p>
    <w:p>
      <w:pPr>
        <w:spacing w:after="0" w:line="210"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The Company had written option contracts with an outstanding principal balance of $16 million at December 31, 1995. The Company received approximately $100,000 in premiums on these options.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717" w:right="1440" w:bottom="1440" w:gutter="0" w:footer="0" w:header="0"/>
        </w:sectPr>
      </w:pPr>
    </w:p>
    <w:bookmarkStart w:id="159" w:name="page160"/>
    <w:bookmarkEnd w:id="159"/>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IN CONNECTION WITH THE OFFER OTHER THAN THOSE CONTAINED IN BY THIS PROSPECTUS AND, IF GIVEN OR MADE, SUCH OTHER INFORMATION OR REPRESENTATIONS MUST NOT BE RELIED UPON AS HAVING BEEN AUTHORIZED BY THE COMPANY OR THE UNDERWRITERS.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ITS DATE. THIS PROSPECTUS DOES NOT CONSTITUTE AN OFFER OR A SOLICITATION OF AN OFFER TO SELL OR A SOLICITATION OF AN OFFER TO BUY SUCH SECURITIES IN ANY CIRCUMSTANCES IN WHICH SUCH OFFER OF SOLICITATION IS UNLAWFUL.</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jc w:val="right"/>
              <w:ind w:right="285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608"/>
        </w:trPr>
        <w:tc>
          <w:tcPr>
            <w:tcW w:w="790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TABLE OF CONTENTS</w:t>
            </w:r>
          </w:p>
        </w:tc>
        <w:tc>
          <w:tcPr>
            <w:tcW w:w="540" w:type="dxa"/>
            <w:vAlign w:val="bottom"/>
          </w:tcPr>
          <w:p>
            <w:pPr>
              <w:spacing w:after="0"/>
              <w:rPr>
                <w:sz w:val="24"/>
                <w:szCs w:val="24"/>
                <w:color w:val="auto"/>
              </w:rPr>
            </w:pPr>
          </w:p>
        </w:tc>
      </w:tr>
      <w:tr>
        <w:trPr>
          <w:trHeight w:val="810"/>
        </w:trPr>
        <w:tc>
          <w:tcPr>
            <w:tcW w:w="7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Prospectus Summary........................................................</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Risk Factors..............................................................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Company...............................................................</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Price Range of Common Stock...............................................</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Dividend Policy and Distributions.........................................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Dividend Reinvestment Plan................................................</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Selected Financial Data...................................................</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Management's Discussion and Analysis of Financial Condition and Results of</w:t>
            </w:r>
          </w:p>
        </w:tc>
        <w:tc>
          <w:tcPr>
            <w:tcW w:w="540" w:type="dxa"/>
            <w:vAlign w:val="bottom"/>
          </w:tcPr>
          <w:p>
            <w:pPr>
              <w:spacing w:after="0"/>
              <w:rPr>
                <w:sz w:val="17"/>
                <w:szCs w:val="17"/>
                <w:color w:val="auto"/>
              </w:rPr>
            </w:pP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Operations...............................................................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bl>
    <w:p>
      <w:pPr>
        <w:spacing w:after="0" w:line="238" w:lineRule="auto"/>
        <w:tabs>
          <w:tab w:leader="none" w:pos="8100" w:val="left"/>
        </w:tabs>
        <w:rPr>
          <w:sz w:val="20"/>
          <w:szCs w:val="20"/>
          <w:color w:val="auto"/>
        </w:rPr>
      </w:pPr>
      <w:r>
        <w:rPr>
          <w:rFonts w:ascii="Courier New" w:cs="Courier New" w:eastAsia="Courier New" w:hAnsi="Courier New"/>
          <w:sz w:val="18"/>
          <w:szCs w:val="18"/>
          <w:color w:val="auto"/>
        </w:rPr>
        <w:t>Imperial Credit Mortgage Holdings, Inc. ..................................</w:t>
      </w:r>
      <w:r>
        <w:rPr>
          <w:sz w:val="20"/>
          <w:szCs w:val="20"/>
          <w:color w:val="auto"/>
        </w:rPr>
        <w:tab/>
      </w:r>
      <w:r>
        <w:rPr>
          <w:rFonts w:ascii="Courier New" w:cs="Courier New" w:eastAsia="Courier New" w:hAnsi="Courier New"/>
          <w:sz w:val="18"/>
          <w:szCs w:val="18"/>
          <w:color w:val="auto"/>
        </w:rPr>
        <w:t>59</w:t>
      </w:r>
    </w:p>
    <w:p>
      <w:pPr>
        <w:spacing w:after="0"/>
        <w:tabs>
          <w:tab w:leader="none" w:pos="8100" w:val="left"/>
        </w:tabs>
        <w:rPr>
          <w:sz w:val="20"/>
          <w:szCs w:val="20"/>
          <w:color w:val="auto"/>
        </w:rPr>
      </w:pPr>
      <w:r>
        <w:rPr>
          <w:rFonts w:ascii="Courier New" w:cs="Courier New" w:eastAsia="Courier New" w:hAnsi="Courier New"/>
          <w:sz w:val="18"/>
          <w:szCs w:val="18"/>
          <w:color w:val="auto"/>
        </w:rPr>
        <w:t>Imperial Credit Advisors, Inc. ...........................................</w:t>
      </w:r>
      <w:r>
        <w:rPr>
          <w:sz w:val="20"/>
          <w:szCs w:val="20"/>
          <w:color w:val="auto"/>
        </w:rPr>
        <w:tab/>
      </w:r>
      <w:r>
        <w:rPr>
          <w:rFonts w:ascii="Courier New" w:cs="Courier New" w:eastAsia="Courier New" w:hAnsi="Courier New"/>
          <w:sz w:val="18"/>
          <w:szCs w:val="18"/>
          <w:color w:val="auto"/>
        </w:rPr>
        <w:t>65</w:t>
      </w:r>
    </w:p>
    <w:tbl>
      <w:tblPr>
        <w:tblLayout w:type="fixed"/>
        <w:tblInd w:w="0" w:type="dxa"/>
        <w:tblCellMar>
          <w:top w:w="0" w:type="dxa"/>
          <w:left w:w="0" w:type="dxa"/>
          <w:bottom w:w="0" w:type="dxa"/>
          <w:right w:w="0" w:type="dxa"/>
        </w:tblCellMar>
      </w:tblPr>
      <w:tr>
        <w:trPr>
          <w:trHeight w:val="202"/>
        </w:trPr>
        <w:tc>
          <w:tcPr>
            <w:tcW w:w="79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Relationships with Affiliates.............................................</w:t>
            </w:r>
          </w:p>
        </w:tc>
        <w:tc>
          <w:tcPr>
            <w:tcW w:w="4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69</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Certain Transactions......................................................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Shares Eligible for Future Sale...........................................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Principal Stockholders....................................................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Capital Stock..............................................</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Provisions of Maryland Law and of the Company's Charter and</w:t>
            </w:r>
          </w:p>
        </w:tc>
        <w:tc>
          <w:tcPr>
            <w:tcW w:w="440" w:type="dxa"/>
            <w:vAlign w:val="bottom"/>
          </w:tcPr>
          <w:p>
            <w:pPr>
              <w:spacing w:after="0"/>
              <w:rPr>
                <w:sz w:val="17"/>
                <w:szCs w:val="17"/>
                <w:color w:val="auto"/>
              </w:rPr>
            </w:pPr>
          </w:p>
        </w:tc>
      </w:tr>
      <w:tr>
        <w:trPr>
          <w:trHeight w:val="203"/>
        </w:trPr>
        <w:tc>
          <w:tcPr>
            <w:tcW w:w="7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Bylaws...................................................................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Considerations.........................................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ERISA Investors...........................................................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Additional Information....................................................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Glossary..................................................................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Index to Financial Statements.............................................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2,500,000 SHARES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LOGO</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PAINEWEBBER INCORPORATED</w:t>
      </w:r>
    </w:p>
    <w:p>
      <w:pPr>
        <w:sectPr>
          <w:pgSz w:w="11900" w:h="16838" w:orient="portrait"/>
          <w:cols w:equalWidth="0" w:num="1">
            <w:col w:w="10219"/>
          </w:cols>
          <w:pgMar w:left="240" w:top="723" w:right="1440" w:bottom="0" w:gutter="0" w:footer="0" w:header="0"/>
        </w:sectPr>
      </w:pPr>
    </w:p>
    <w:bookmarkStart w:id="160" w:name="page161"/>
    <w:bookmarkEnd w:id="160"/>
    <w:p>
      <w:pPr>
        <w:ind w:left="2840"/>
        <w:spacing w:after="0"/>
        <w:rPr>
          <w:sz w:val="20"/>
          <w:szCs w:val="20"/>
          <w:color w:val="auto"/>
        </w:rPr>
      </w:pPr>
      <w:r>
        <w:rPr>
          <w:rFonts w:ascii="Courier New" w:cs="Courier New" w:eastAsia="Courier New" w:hAnsi="Courier New"/>
          <w:sz w:val="18"/>
          <w:szCs w:val="18"/>
          <w:color w:val="auto"/>
        </w:rPr>
        <w:t>OPPENHEIMER &amp; CO.,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STIFEL, NICOLAUS &amp; COMPANY</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EVEREN SECURITIES, INC.</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 1996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099"/>
          </w:cols>
          <w:pgMar w:left="360" w:top="339" w:right="1440" w:bottom="1440" w:gutter="0" w:footer="0" w:header="0"/>
        </w:sectPr>
      </w:pPr>
    </w:p>
    <w:bookmarkStart w:id="161" w:name="page162"/>
    <w:bookmarkEnd w:id="16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30. OTHER EXPENSES OF ISSUANCE AND DISTRIBUTION</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costs and expenses, other than underwriting discounts and commissions, payable by the Registrant in connection with the sale of Common Stock being registered. All amounts are estimates except the SEC registration fee and the NASD filing fee.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744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 BE</w:t>
            </w:r>
          </w:p>
        </w:tc>
      </w:tr>
      <w:tr>
        <w:trPr>
          <w:trHeight w:val="203"/>
        </w:trPr>
        <w:tc>
          <w:tcPr>
            <w:tcW w:w="744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PAID</w:t>
            </w:r>
          </w:p>
        </w:tc>
      </w:tr>
      <w:tr>
        <w:trPr>
          <w:trHeight w:val="203"/>
        </w:trPr>
        <w:tc>
          <w:tcPr>
            <w:tcW w:w="74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$ 15,366</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NASD filing fee.......................................................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4,956</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American Stock Exchange listing fee...................................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New York real estate fee..............................................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and custodian fees.....................................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59,678</w:t>
            </w:r>
          </w:p>
        </w:tc>
      </w:tr>
      <w:tr>
        <w:trPr>
          <w:trHeight w:val="203"/>
        </w:trPr>
        <w:tc>
          <w:tcPr>
            <w:tcW w:w="74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74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31. SALES TO RELATED PARTIES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 November 20, 1995, the effective date of the Registrant's initial public offering, ICII contributed to ICIFC certain of the operating assets and certain customer lists of ICII's mortgage conduit operations including all of ICII's mortgage conduit operations' commitments to purchase mortgage loans subject to rate locks from correspondents (having a principal balance of $43.3 million at September 30, 1995), in exchange for shares representing 100% of the common stock and 100% of the non-voting preferred stock of ICIFC. Simultaneously, on such date, in exchange for 500,000 shares of Common Stock, ICII (1) contributed to the Registrant all of the outstanding non-voting preferred stock of ICIFC, which represents 99% of the economic interest in ICIFC,(2) caused SPTL to contribute to the Registrant certain of the operating assets and certain customer lists of SPTL's warehouse lending division, and</w:t>
      </w:r>
    </w:p>
    <w:p>
      <w:pPr>
        <w:spacing w:after="0" w:line="188" w:lineRule="exact"/>
        <w:rPr>
          <w:sz w:val="20"/>
          <w:szCs w:val="20"/>
          <w:color w:val="auto"/>
        </w:rPr>
      </w:pPr>
    </w:p>
    <w:p>
      <w:pPr>
        <w:ind w:right="199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an agreement not to compete and a right of first refusal agreement each having a term of two years from the effective date of the Registrants' initial public offering. This contribution is known as the "Contribution Transaction." Of the 500,000 shares issued pursuant to the Contribution Transaction, 450,000 shares were issued to ICII and 50,000 shares were issued to SPTL. The shares issued to ICII and SPTL were issued in reliance on the exemption from registration contained in Section 4(2) of the Securities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33. INDEMNIFICATION OF DIRECTORS AND OFFICERS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MGCL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(b) active and deliberate dishonesty established by a final judgment as being material to the cause of action. The Charter of the Company contains such a provision which eliminates such liability to the maximum extent permitted by Maryland law.</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Charter of the Company authorizes it, to the maximum extent permitted by Maryland law, to obligate itself to indemnify and to pay or reimburse reasonable expenses in advance of final disposition of a proceeding to (1) any present or former Director or officer or (2) any individual who, while a Director of the Company and at the request of the Company, serves or has served another corporation, partnership, joint venture, trust,</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564" w:gutter="0" w:footer="0" w:header="0"/>
        </w:sectPr>
      </w:pPr>
    </w:p>
    <w:bookmarkStart w:id="162" w:name="page163"/>
    <w:bookmarkEnd w:id="162"/>
    <w:p>
      <w:pPr>
        <w:ind w:right="1999"/>
        <w:spacing w:after="0" w:line="269" w:lineRule="auto"/>
        <w:rPr>
          <w:sz w:val="20"/>
          <w:szCs w:val="20"/>
          <w:color w:val="auto"/>
        </w:rPr>
      </w:pPr>
      <w:r>
        <w:rPr>
          <w:rFonts w:ascii="Courier New" w:cs="Courier New" w:eastAsia="Courier New" w:hAnsi="Courier New"/>
          <w:sz w:val="16"/>
          <w:szCs w:val="16"/>
          <w:color w:val="auto"/>
        </w:rPr>
        <w:t>employee benefit plan or any other enterprise as a director, officer, partner or trustee of such corporation, partnership, joint venture, trust, employee benefit plan or other enterprise. The Bylaws of the Company obligate it, to the maximum extent permitted by Maryland law, to indemnify and to pay or reimburse reasonable expenses in advance of final disposition of a proceeding to (1) any present or former Director or officer who is made a party to the proceeding by reason of his service in that capacity or (2) any individual who, while a Director of the Company and at the request of the Company, serves or has served another corporation, partnership, joint venture, trust, employee benefit plan or any other enterprise as a director, officer, partner or trustee of such corporation, partnership, joint venture, trust, employee benefit plan or other enterprise and who is made a party to the proceeding by reason of his service in that capacity. The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MGCL requires a corporation (unless its charter provides otherwise, which the Company's Charter does not) to indemnify a director or officer who has been successful, on the merits or otherwise, in the defense of any proceeding to which he is made a party by reason of his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(1) the act or omission of the director or officer was material to the matter giving rise to the proceeding and (i) was committed in bad faith or (ii)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a Maryland corporation may not indemnify for an adverse judgment in a suit by or in the right of the corporation. In addition, the MGCL requires the Company, as a condition to advancing expenses, to obtain (1) a written affirmation by the director or officer of his good faith belief that he has met the standard of conduct necessary for indemnification by the Company as authorized by the Bylaws and (2) a written statement by or on his behalf to repay the amount paid or reimbursed by the Company if it shall ultimately be determined that the standard of conduct was not met.</w:t>
      </w:r>
    </w:p>
    <w:p>
      <w:pPr>
        <w:spacing w:after="0" w:line="211"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In addition, the Registrant has entered into an Indemnity Agreement (Exhibit 10.4 hereto) with its officers and Directors. The Underwriting Agreement (Exhibit 1.1) also provides for indemnification by the Underwriters of the Company, its Directors and officers and persons who control the Company within the meaning of Section 15 of the Securities Act with respect to certain liabilities, including liabilities arising under the Securities Act.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35. FINANCIAL STATEMENTS AND EXHIBITS</w:t>
      </w:r>
    </w:p>
    <w:p>
      <w:pPr>
        <w:spacing w:after="0" w:line="201" w:lineRule="exact"/>
        <w:rPr>
          <w:sz w:val="20"/>
          <w:szCs w:val="20"/>
          <w:color w:val="auto"/>
        </w:rPr>
      </w:pPr>
    </w:p>
    <w:p>
      <w:pPr>
        <w:ind w:left="640" w:hanging="421"/>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included in the Prospectus are:</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IMPERIAL CREDIT MORTGAGE HOLDINGS, INC.</w:t>
      </w:r>
    </w:p>
    <w:p>
      <w:pPr>
        <w:spacing w:after="0" w:line="207" w:lineRule="exact"/>
        <w:rPr>
          <w:sz w:val="20"/>
          <w:szCs w:val="20"/>
          <w:color w:val="auto"/>
        </w:rPr>
      </w:pPr>
    </w:p>
    <w:p>
      <w:pPr>
        <w:ind w:left="420" w:right="2619" w:hanging="104"/>
        <w:spacing w:after="0" w:line="268" w:lineRule="auto"/>
        <w:rPr>
          <w:sz w:val="20"/>
          <w:szCs w:val="20"/>
          <w:color w:val="auto"/>
        </w:rPr>
      </w:pPr>
      <w:r>
        <w:rPr>
          <w:rFonts w:ascii="Courier New" w:cs="Courier New" w:eastAsia="Courier New" w:hAnsi="Courier New"/>
          <w:sz w:val="16"/>
          <w:szCs w:val="16"/>
          <w:color w:val="auto"/>
        </w:rPr>
        <w:t>Consolidated Balance Sheet at March 31, 1996 (unaudited) and Consolidated Balance Sheets at December 31, 1995 and 1994 (audited);</w:t>
      </w:r>
    </w:p>
    <w:p>
      <w:pPr>
        <w:ind w:left="420" w:right="2519" w:hanging="104"/>
        <w:spacing w:after="0" w:line="237" w:lineRule="auto"/>
        <w:rPr>
          <w:sz w:val="20"/>
          <w:szCs w:val="20"/>
          <w:color w:val="auto"/>
        </w:rPr>
      </w:pPr>
      <w:r>
        <w:rPr>
          <w:rFonts w:ascii="Courier New" w:cs="Courier New" w:eastAsia="Courier New" w:hAnsi="Courier New"/>
          <w:sz w:val="18"/>
          <w:szCs w:val="18"/>
          <w:color w:val="auto"/>
        </w:rPr>
        <w:t>Consolidated Statements of Operations for the three months ended March 31, 1996 and 1995 (unaudited) and Consolidated Statements of Operations for the years ended December 31, 1995, 1994 and 1993 (audited);</w:t>
      </w:r>
    </w:p>
    <w:p>
      <w:pPr>
        <w:spacing w:after="0" w:line="5" w:lineRule="exact"/>
        <w:rPr>
          <w:sz w:val="20"/>
          <w:szCs w:val="20"/>
          <w:color w:val="auto"/>
        </w:rPr>
      </w:pPr>
    </w:p>
    <w:p>
      <w:pPr>
        <w:ind w:left="420" w:right="2939" w:hanging="104"/>
        <w:spacing w:after="0" w:line="237" w:lineRule="auto"/>
        <w:rPr>
          <w:sz w:val="20"/>
          <w:szCs w:val="20"/>
          <w:color w:val="auto"/>
        </w:rPr>
      </w:pPr>
      <w:r>
        <w:rPr>
          <w:rFonts w:ascii="Courier New" w:cs="Courier New" w:eastAsia="Courier New" w:hAnsi="Courier New"/>
          <w:sz w:val="18"/>
          <w:szCs w:val="18"/>
          <w:color w:val="auto"/>
        </w:rPr>
        <w:t>Consolidated Statement of Changes in Stockholders' Equity for the three months ended March 31, 1996 (unaudited) and Consolidated Statements of Changes in Stockholders' Equity for the years ended December 31, 1995, 1994 and 1993 (audited);</w:t>
      </w:r>
    </w:p>
    <w:p>
      <w:pPr>
        <w:spacing w:after="0" w:line="5" w:lineRule="exact"/>
        <w:rPr>
          <w:sz w:val="20"/>
          <w:szCs w:val="20"/>
          <w:color w:val="auto"/>
        </w:rPr>
      </w:pPr>
    </w:p>
    <w:p>
      <w:pPr>
        <w:ind w:left="420" w:right="2519" w:hanging="104"/>
        <w:spacing w:after="0" w:line="268" w:lineRule="auto"/>
        <w:rPr>
          <w:sz w:val="20"/>
          <w:szCs w:val="20"/>
          <w:color w:val="auto"/>
        </w:rPr>
      </w:pPr>
      <w:r>
        <w:rPr>
          <w:rFonts w:ascii="Courier New" w:cs="Courier New" w:eastAsia="Courier New" w:hAnsi="Courier New"/>
          <w:sz w:val="16"/>
          <w:szCs w:val="16"/>
          <w:color w:val="auto"/>
        </w:rPr>
        <w:t>Consolidated Statements of Cash Flows for the three months ended March 31, 1996 and 1994 (unaudited) and Consolidated Statements of Cash Flows for the years ended December 31, 1995, 1994 and 1993 (audited);</w:t>
      </w:r>
    </w:p>
    <w:p>
      <w:pPr>
        <w:ind w:left="320"/>
        <w:spacing w:after="0" w:line="233"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163" w:name="page164"/>
    <w:bookmarkEnd w:id="163"/>
    <w:p>
      <w:pPr>
        <w:ind w:left="2960"/>
        <w:spacing w:after="0"/>
        <w:rPr>
          <w:sz w:val="20"/>
          <w:szCs w:val="20"/>
          <w:color w:val="auto"/>
        </w:rPr>
      </w:pPr>
      <w:r>
        <w:rPr>
          <w:rFonts w:ascii="Courier New" w:cs="Courier New" w:eastAsia="Courier New" w:hAnsi="Courier New"/>
          <w:sz w:val="18"/>
          <w:szCs w:val="18"/>
          <w:color w:val="auto"/>
        </w:rPr>
        <w:t>ICI FUNDING CORPORATION</w:t>
      </w:r>
    </w:p>
    <w:p>
      <w:pPr>
        <w:spacing w:after="0" w:line="207" w:lineRule="exact"/>
        <w:rPr>
          <w:sz w:val="20"/>
          <w:szCs w:val="20"/>
          <w:color w:val="auto"/>
        </w:rPr>
      </w:pPr>
    </w:p>
    <w:p>
      <w:pPr>
        <w:ind w:left="420" w:right="3039" w:hanging="104"/>
        <w:spacing w:after="0" w:line="235" w:lineRule="auto"/>
        <w:rPr>
          <w:sz w:val="20"/>
          <w:szCs w:val="20"/>
          <w:color w:val="auto"/>
        </w:rPr>
      </w:pPr>
      <w:r>
        <w:rPr>
          <w:rFonts w:ascii="Courier New" w:cs="Courier New" w:eastAsia="Courier New" w:hAnsi="Courier New"/>
          <w:sz w:val="18"/>
          <w:szCs w:val="18"/>
          <w:color w:val="auto"/>
        </w:rPr>
        <w:t>Balance Sheet at March 31, 1996 (unaudited) and Balance Sheets at December 31, 1995 and 1994 (audited);</w:t>
      </w:r>
    </w:p>
    <w:p>
      <w:pPr>
        <w:spacing w:after="0" w:line="6" w:lineRule="exact"/>
        <w:rPr>
          <w:sz w:val="20"/>
          <w:szCs w:val="20"/>
          <w:color w:val="auto"/>
        </w:rPr>
      </w:pPr>
    </w:p>
    <w:p>
      <w:pPr>
        <w:jc w:val="both"/>
        <w:ind w:left="420" w:right="2419" w:hanging="104"/>
        <w:spacing w:after="0" w:line="236" w:lineRule="auto"/>
        <w:rPr>
          <w:sz w:val="20"/>
          <w:szCs w:val="20"/>
          <w:color w:val="auto"/>
        </w:rPr>
      </w:pPr>
      <w:r>
        <w:rPr>
          <w:rFonts w:ascii="Courier New" w:cs="Courier New" w:eastAsia="Courier New" w:hAnsi="Courier New"/>
          <w:sz w:val="18"/>
          <w:szCs w:val="18"/>
          <w:color w:val="auto"/>
        </w:rPr>
        <w:t>Statements of Operations for the three months ended March 31, 1996 and 1995 (unaudited) and Statements of Income for the years ended December 31, 1995, 1994 and 1993 (audited);</w:t>
      </w:r>
    </w:p>
    <w:p>
      <w:pPr>
        <w:spacing w:after="0" w:line="6" w:lineRule="exact"/>
        <w:rPr>
          <w:sz w:val="20"/>
          <w:szCs w:val="20"/>
          <w:color w:val="auto"/>
        </w:rPr>
      </w:pPr>
    </w:p>
    <w:p>
      <w:pPr>
        <w:jc w:val="center"/>
        <w:ind w:right="2099"/>
        <w:spacing w:after="0" w:line="268" w:lineRule="auto"/>
        <w:rPr>
          <w:sz w:val="20"/>
          <w:szCs w:val="20"/>
          <w:color w:val="auto"/>
        </w:rPr>
      </w:pPr>
      <w:r>
        <w:rPr>
          <w:rFonts w:ascii="Courier New" w:cs="Courier New" w:eastAsia="Courier New" w:hAnsi="Courier New"/>
          <w:sz w:val="16"/>
          <w:szCs w:val="16"/>
          <w:color w:val="auto"/>
        </w:rPr>
        <w:t>Statement of Changes in Shareholders' Equity for the three months ended March 31, 1996 (unaudited) and Statements of Changes in Shareholders' Equity for the years ended December 31, 1995, 1994 and 1993 (audited); Statements of Cash Flows for the three months ended March 31, 1996 and</w:t>
      </w:r>
    </w:p>
    <w:p>
      <w:pPr>
        <w:spacing w:after="0" w:line="1" w:lineRule="exact"/>
        <w:rPr>
          <w:sz w:val="20"/>
          <w:szCs w:val="20"/>
          <w:color w:val="auto"/>
        </w:rPr>
      </w:pPr>
    </w:p>
    <w:p>
      <w:pPr>
        <w:ind w:left="420" w:right="2939"/>
        <w:spacing w:after="0" w:line="235" w:lineRule="auto"/>
        <w:rPr>
          <w:sz w:val="20"/>
          <w:szCs w:val="20"/>
          <w:color w:val="auto"/>
        </w:rPr>
      </w:pPr>
      <w:r>
        <w:rPr>
          <w:rFonts w:ascii="Courier New" w:cs="Courier New" w:eastAsia="Courier New" w:hAnsi="Courier New"/>
          <w:sz w:val="18"/>
          <w:szCs w:val="18"/>
          <w:color w:val="auto"/>
        </w:rPr>
        <w:t>1995 (unaudited) and Statements of Cash Flows for the years ended December 31, 1995, 1994 and 1993 (audited)</w:t>
      </w:r>
    </w:p>
    <w:p>
      <w:pPr>
        <w:ind w:left="320"/>
        <w:spacing w:after="0"/>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All schedules have been omitted because they are either not applicable, not required or the information required has been disclosed in the financial statements and related notes or otherwise in the Prospectus.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EXHIBIT</w:t>
      </w:r>
    </w:p>
    <w:p>
      <w:pPr>
        <w:jc w:val="center"/>
        <w:ind w:right="9259"/>
        <w:spacing w:after="0" w:line="238" w:lineRule="auto"/>
        <w:rPr>
          <w:sz w:val="20"/>
          <w:szCs w:val="20"/>
          <w:color w:val="auto"/>
        </w:rPr>
      </w:pPr>
      <w:r>
        <w:rPr>
          <w:rFonts w:ascii="Courier New" w:cs="Courier New" w:eastAsia="Courier New" w:hAnsi="Courier New"/>
          <w:sz w:val="18"/>
          <w:szCs w:val="18"/>
          <w:color w:val="auto"/>
        </w:rPr>
        <w:t>NO.</w:t>
      </w: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 Form of Underwriting Agreement.</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 Charter of the Registrant.</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 Bylaws of the Registrant.</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 Form of Stock Certificate of the Company.</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 Opinion of Freshman, Marantz, Orlanski, Cooper &amp; Klein.</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 Opinion of Ballard Spahr Andrews &amp; Ingersoll.</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 Opinion of Latham &amp; Watkins.</w:t>
      </w:r>
    </w:p>
    <w:p>
      <w:pPr>
        <w:spacing w:after="0" w:line="5" w:lineRule="exact"/>
        <w:rPr>
          <w:sz w:val="20"/>
          <w:szCs w:val="20"/>
          <w:color w:val="auto"/>
        </w:rPr>
      </w:pPr>
    </w:p>
    <w:p>
      <w:pPr>
        <w:ind w:left="960" w:right="219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 Form of Management Agreement between the Registrant and Imperial Credit Advisors, Inc.</w:t>
      </w:r>
    </w:p>
    <w:p>
      <w:pPr>
        <w:spacing w:after="0" w:line="6" w:lineRule="exact"/>
        <w:rPr>
          <w:sz w:val="20"/>
          <w:szCs w:val="20"/>
          <w:color w:val="auto"/>
        </w:rPr>
      </w:pPr>
    </w:p>
    <w:p>
      <w:pPr>
        <w:ind w:left="960" w:right="209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 Form of Submanagement Agreement between Imperial Credit Advisors, Inc. and Imperial Credit Industries, Inc.</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 Stock Option Plan.</w:t>
      </w:r>
    </w:p>
    <w:p>
      <w:pPr>
        <w:spacing w:after="0" w:line="4" w:lineRule="exact"/>
        <w:rPr>
          <w:sz w:val="20"/>
          <w:szCs w:val="20"/>
          <w:color w:val="auto"/>
        </w:rPr>
      </w:pPr>
    </w:p>
    <w:p>
      <w:pPr>
        <w:ind w:left="960" w:right="283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 Form of Indemnity Agreement between the Registrant and its Directors and officers.</w:t>
      </w:r>
    </w:p>
    <w:p>
      <w:pPr>
        <w:spacing w:after="0" w:line="6" w:lineRule="exact"/>
        <w:rPr>
          <w:sz w:val="20"/>
          <w:szCs w:val="20"/>
          <w:color w:val="auto"/>
        </w:rPr>
      </w:pPr>
    </w:p>
    <w:p>
      <w:pPr>
        <w:ind w:left="960" w:right="219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 Form of Tax Agreement between the Registrant and Imperial Credit Industries, Inc.</w:t>
      </w:r>
    </w:p>
    <w:p>
      <w:pPr>
        <w:spacing w:after="0" w:line="6" w:lineRule="exact"/>
        <w:rPr>
          <w:sz w:val="20"/>
          <w:szCs w:val="20"/>
          <w:color w:val="auto"/>
        </w:rPr>
      </w:pPr>
    </w:p>
    <w:p>
      <w:pPr>
        <w:ind w:left="960" w:right="241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 Form of Services Agreement between the Registrant and Imperial Credit Industries, Inc.</w:t>
      </w:r>
    </w:p>
    <w:p>
      <w:pPr>
        <w:spacing w:after="0" w:line="6" w:lineRule="exact"/>
        <w:rPr>
          <w:sz w:val="20"/>
          <w:szCs w:val="20"/>
          <w:color w:val="auto"/>
        </w:rPr>
      </w:pPr>
    </w:p>
    <w:p>
      <w:pPr>
        <w:ind w:left="960" w:right="2739" w:hanging="1158"/>
        <w:spacing w:after="0" w:line="268" w:lineRule="auto"/>
        <w:tabs>
          <w:tab w:leader="none" w:pos="9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 Form of Sublease between the Registrant and Imperial Credit Industries, Inc. regarding Santa Ana Heights facility.</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 Form of Employment Agreement.</w:t>
      </w:r>
    </w:p>
    <w:p>
      <w:pPr>
        <w:spacing w:after="0" w:line="5" w:lineRule="exact"/>
        <w:rPr>
          <w:sz w:val="20"/>
          <w:szCs w:val="20"/>
          <w:color w:val="auto"/>
        </w:rPr>
      </w:pPr>
    </w:p>
    <w:p>
      <w:pPr>
        <w:ind w:left="960" w:right="187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8"/>
          <w:szCs w:val="18"/>
          <w:color w:val="auto"/>
        </w:rPr>
        <w:t>-- Form of Loan Purchase and Administrative Services Agreement between the Registrant and ICI Funding Corporation.</w:t>
      </w:r>
    </w:p>
    <w:p>
      <w:pPr>
        <w:spacing w:after="0" w:line="6" w:lineRule="exact"/>
        <w:rPr>
          <w:sz w:val="20"/>
          <w:szCs w:val="20"/>
          <w:color w:val="auto"/>
        </w:rPr>
      </w:pPr>
    </w:p>
    <w:p>
      <w:pPr>
        <w:ind w:left="960" w:right="1879" w:hanging="1158"/>
        <w:spacing w:after="0"/>
        <w:tabs>
          <w:tab w:leader="none" w:pos="940" w:val="left"/>
        </w:tabs>
        <w:rPr>
          <w:sz w:val="20"/>
          <w:szCs w:val="20"/>
          <w:color w:val="auto"/>
        </w:rPr>
      </w:pPr>
      <w:r>
        <w:rPr>
          <w:rFonts w:ascii="Courier New" w:cs="Courier New" w:eastAsia="Courier New" w:hAnsi="Courier New"/>
          <w:sz w:val="18"/>
          <w:szCs w:val="18"/>
          <w:color w:val="auto"/>
        </w:rPr>
        <w:t>10.10+</w:t>
        <w:tab/>
        <w:t>-- Form of Contribution Agreement between the Registrant, Imperial Credit Industries, Inc., Southern Pacific Thrift &amp; Loan Association, ICI Funding Corporation and Imperial Warehouse Lending Group, Inc.</w:t>
      </w:r>
    </w:p>
    <w:p>
      <w:pPr>
        <w:spacing w:after="0" w:line="199" w:lineRule="exact"/>
        <w:rPr>
          <w:sz w:val="20"/>
          <w:szCs w:val="20"/>
          <w:color w:val="auto"/>
        </w:rPr>
      </w:pPr>
    </w:p>
    <w:p>
      <w:pPr>
        <w:ind w:left="960" w:right="261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10.11+</w:t>
        <w:tab/>
        <w:t>-- Form of Non-Competition Agreement between the Registrant and Imperial Credit Industries, Inc.</w:t>
      </w:r>
    </w:p>
    <w:p>
      <w:pPr>
        <w:spacing w:after="0" w:line="6" w:lineRule="exact"/>
        <w:rPr>
          <w:sz w:val="20"/>
          <w:szCs w:val="20"/>
          <w:color w:val="auto"/>
        </w:rPr>
      </w:pPr>
    </w:p>
    <w:p>
      <w:pPr>
        <w:ind w:left="960" w:right="219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10.12+</w:t>
        <w:tab/>
        <w:t>-- Form of Right of First Refusal Agreement between Imperial Credit Industries, Inc. and ICI Funding Corporation.</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 Form of Dividend Reinvestment Plan.</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 Subsidiaries of the Registrant.</w:t>
      </w:r>
    </w:p>
    <w:p>
      <w:pPr>
        <w:spacing w:after="0" w:line="5" w:lineRule="exact"/>
        <w:rPr>
          <w:sz w:val="20"/>
          <w:szCs w:val="20"/>
          <w:color w:val="auto"/>
        </w:rPr>
      </w:pPr>
    </w:p>
    <w:p>
      <w:pPr>
        <w:ind w:left="960" w:right="2099" w:hanging="1158"/>
        <w:spacing w:after="0" w:line="235" w:lineRule="auto"/>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 Consent of Freshman, Marantz, Orlanski, Cooper &amp; Klein (contained in Exhibit 5.1).</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 Consent of Ballard Spahr Andrews &amp; Ingersoll (contained in Exhibit</w:t>
      </w:r>
    </w:p>
    <w:p>
      <w:pPr>
        <w:ind w:left="1280"/>
        <w:spacing w:after="0" w:line="238" w:lineRule="auto"/>
        <w:rPr>
          <w:sz w:val="20"/>
          <w:szCs w:val="20"/>
          <w:color w:val="auto"/>
        </w:rPr>
      </w:pPr>
      <w:r>
        <w:rPr>
          <w:rFonts w:ascii="Courier New" w:cs="Courier New" w:eastAsia="Courier New" w:hAnsi="Courier New"/>
          <w:sz w:val="18"/>
          <w:szCs w:val="18"/>
          <w:color w:val="auto"/>
        </w:rPr>
        <w:t>5.2).</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 Consent of Latham &amp; Watkins (contained in Exhibit 8.1).</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 Consent of KPMG Peat Marwick LLP regarding Registrant.</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6"/>
          <w:szCs w:val="16"/>
          <w:color w:val="auto"/>
        </w:rPr>
        <w:t>-- Consent of KPMG Peat Marwick LLP regarding ICI Funding Corporation.</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 Power of Attorney (included on Signature page).</w:t>
      </w:r>
    </w:p>
    <w:p>
      <w:pPr>
        <w:ind w:left="120"/>
        <w:spacing w:after="0" w:line="237" w:lineRule="auto"/>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 Financial Data Schedule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969" w:gutter="0" w:footer="0" w:header="0"/>
        </w:sectPr>
      </w:pPr>
    </w:p>
    <w:bookmarkStart w:id="164" w:name="page165"/>
    <w:bookmarkEnd w:id="164"/>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1999" w:hanging="312"/>
        <w:spacing w:after="0" w:line="237" w:lineRule="auto"/>
        <w:tabs>
          <w:tab w:leader="none" w:pos="3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and all such exhibits have the corresponding Exhibit Number filed as part of the Registration Statement on Form S-11 (File No. 33-96670) and Amendments No. 1, 2 and 3 filed with the Securities and Exchange Commission on September 7, 1995, October 23, 1995, October 30, 1995 and November 8, 1995, respectively.</w:t>
      </w:r>
    </w:p>
    <w:p>
      <w:pPr>
        <w:spacing w:after="0" w:line="203"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36. UNDERTAKINGS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jc w:val="both"/>
        <w:ind w:left="220" w:right="2319" w:firstLine="209"/>
        <w:spacing w:after="0" w:line="268" w:lineRule="auto"/>
        <w:tabs>
          <w:tab w:leader="none" w:pos="85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220" w:right="2319" w:hanging="1"/>
        <w:spacing w:after="0" w:line="235" w:lineRule="auto"/>
        <w:tabs>
          <w:tab w:leader="none" w:pos="64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497(h) under the Securities Act shall be deemed to be part of this Registration Statement as of the time it was declared effective.</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165" w:name="page166"/>
    <w:bookmarkEnd w:id="165"/>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of filing on Form S-11 and has duly caused this Registration Statement to be signed on its behalf by the undersigned, thereunto duly authorized, in the City of Santa Ana Heights, State of California, on the 16th day of May, 1996.</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IMPERIAL CREDIT MORTGAGE HOLDINGS,</w:t>
      </w:r>
    </w:p>
    <w:p>
      <w:pPr>
        <w:ind w:left="4220"/>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Joseph R. Tomkinson</w:t>
      </w:r>
    </w:p>
    <w:p>
      <w:pPr>
        <w:ind w:left="4120"/>
        <w:spacing w:after="0" w:line="238" w:lineRule="auto"/>
        <w:rPr>
          <w:sz w:val="20"/>
          <w:szCs w:val="20"/>
          <w:color w:val="auto"/>
        </w:rPr>
      </w:pPr>
      <w:r>
        <w:rPr>
          <w:rFonts w:ascii="Courier New" w:cs="Courier New" w:eastAsia="Courier New" w:hAnsi="Courier New"/>
          <w:sz w:val="18"/>
          <w:szCs w:val="18"/>
          <w:color w:val="auto"/>
        </w:rPr>
        <w:t>By:____________________________________</w:t>
      </w:r>
    </w:p>
    <w:p>
      <w:pPr>
        <w:ind w:left="5380"/>
        <w:spacing w:after="0"/>
        <w:rPr>
          <w:sz w:val="20"/>
          <w:szCs w:val="20"/>
          <w:color w:val="auto"/>
        </w:rPr>
      </w:pPr>
      <w:r>
        <w:rPr>
          <w:rFonts w:ascii="Courier New" w:cs="Courier New" w:eastAsia="Courier New" w:hAnsi="Courier New"/>
          <w:sz w:val="18"/>
          <w:szCs w:val="18"/>
          <w:color w:val="auto"/>
        </w:rPr>
        <w:t>Joseph R. Tomkinson</w:t>
      </w:r>
    </w:p>
    <w:p>
      <w:pPr>
        <w:ind w:left="4960"/>
        <w:spacing w:after="0" w:line="237" w:lineRule="auto"/>
        <w:rPr>
          <w:sz w:val="20"/>
          <w:szCs w:val="20"/>
          <w:color w:val="auto"/>
        </w:rPr>
      </w:pPr>
      <w:r>
        <w:rPr>
          <w:rFonts w:ascii="Courier New" w:cs="Courier New" w:eastAsia="Courier New" w:hAnsi="Courier New"/>
          <w:sz w:val="18"/>
          <w:szCs w:val="18"/>
          <w:color w:val="auto"/>
        </w:rPr>
        <w:t>Vice Chairman of the Board</w:t>
      </w:r>
    </w:p>
    <w:p>
      <w:pPr>
        <w:ind w:left="506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jointly and severally, Joseph R. Tomkinson and H. Wayne Snavely, and each one of them, individual and without the other, his or her attorney-in-fact, each with the power of substitution, for him or her in any and all capacities, to sign any and all amendments to this Registration Statement (including post-effective amendments), and any registration statement relating to the same offering as the Registration Statement that is to be effective upon filing pursuant to Rule 462(b) and the Securities Act of 1933,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391" w:lineRule="exact"/>
        <w:rPr>
          <w:sz w:val="20"/>
          <w:szCs w:val="20"/>
          <w:color w:val="auto"/>
        </w:rPr>
      </w:pPr>
    </w:p>
    <w:p>
      <w:pPr>
        <w:ind w:right="283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SIGNATURE</w:t>
            </w:r>
          </w:p>
        </w:tc>
        <w:tc>
          <w:tcPr>
            <w:tcW w:w="3320" w:type="dxa"/>
            <w:vAlign w:val="bottom"/>
          </w:tcPr>
          <w:p>
            <w:pPr>
              <w:ind w:left="1300"/>
              <w:spacing w:after="0"/>
              <w:rPr>
                <w:sz w:val="20"/>
                <w:szCs w:val="20"/>
                <w:color w:val="auto"/>
              </w:rPr>
            </w:pPr>
            <w:r>
              <w:rPr>
                <w:rFonts w:ascii="Courier New" w:cs="Courier New" w:eastAsia="Courier New" w:hAnsi="Courier New"/>
                <w:sz w:val="18"/>
                <w:szCs w:val="18"/>
                <w:color w:val="auto"/>
              </w:rPr>
              <w:t>TITLE</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3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32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/s/ Joseph R. Tomkinson</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Vice Chairman of the Board</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1460" w:type="dxa"/>
            <w:vAlign w:val="bottom"/>
          </w:tcPr>
          <w:p>
            <w:pPr>
              <w:spacing w:after="0"/>
              <w:rPr>
                <w:sz w:val="17"/>
                <w:szCs w:val="17"/>
                <w:color w:val="auto"/>
              </w:rPr>
            </w:pPr>
          </w:p>
        </w:tc>
      </w:tr>
      <w:tr>
        <w:trPr>
          <w:trHeight w:val="203"/>
        </w:trPr>
        <w:tc>
          <w:tcPr>
            <w:tcW w:w="38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Joseph R. Tomkinson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460" w:type="dxa"/>
            <w:vAlign w:val="bottom"/>
          </w:tcPr>
          <w:p>
            <w:pPr>
              <w:spacing w:after="0"/>
              <w:rPr>
                <w:sz w:val="17"/>
                <w:szCs w:val="17"/>
                <w:color w:val="auto"/>
              </w:rPr>
            </w:pPr>
          </w:p>
        </w:tc>
      </w:tr>
      <w:tr>
        <w:trPr>
          <w:trHeight w:val="405"/>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/s/ Richard J. Johnson</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Chief Financial Officer</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460" w:type="dxa"/>
            <w:vAlign w:val="bottom"/>
          </w:tcPr>
          <w:p>
            <w:pPr>
              <w:spacing w:after="0"/>
              <w:rPr>
                <w:sz w:val="17"/>
                <w:szCs w:val="17"/>
                <w:color w:val="auto"/>
              </w:rPr>
            </w:pP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J. Johnson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460" w:type="dxa"/>
            <w:vAlign w:val="bottom"/>
          </w:tcPr>
          <w:p>
            <w:pPr>
              <w:spacing w:after="0"/>
              <w:rPr>
                <w:sz w:val="17"/>
                <w:szCs w:val="17"/>
                <w:color w:val="auto"/>
              </w:rPr>
            </w:pPr>
          </w:p>
        </w:tc>
      </w:tr>
      <w:tr>
        <w:trPr>
          <w:trHeight w:val="405"/>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 H. Wayne Snavely</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 Wayne Snavely</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860" w:type="dxa"/>
            <w:vAlign w:val="bottom"/>
          </w:tcPr>
          <w:p>
            <w:pPr>
              <w:ind w:left="960"/>
              <w:spacing w:after="0"/>
              <w:rPr>
                <w:sz w:val="20"/>
                <w:szCs w:val="20"/>
                <w:color w:val="auto"/>
              </w:rPr>
            </w:pPr>
            <w:r>
              <w:rPr>
                <w:rFonts w:ascii="Courier New" w:cs="Courier New" w:eastAsia="Courier New" w:hAnsi="Courier New"/>
                <w:sz w:val="18"/>
                <w:szCs w:val="18"/>
                <w:color w:val="auto"/>
              </w:rPr>
              <w:t>/s/ James Walsh</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James Walsh</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/s/ Frank Filipps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Frank Filipps</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 Stephen R. Peers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May 16, 1996</w:t>
            </w: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Stephen R. Peers</w:t>
            </w:r>
          </w:p>
        </w:tc>
        <w:tc>
          <w:tcPr>
            <w:tcW w:w="33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sectPr>
      </w:pPr>
    </w:p>
    <w:bookmarkStart w:id="166" w:name="page167"/>
    <w:bookmarkEnd w:id="166"/>
    <w:tbl>
      <w:tblPr>
        <w:tblLayout w:type="fixed"/>
        <w:tblInd w:w="12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c>
          <w:tcPr>
            <w:tcW w:w="1440" w:type="dxa"/>
            <w:vAlign w:val="bottom"/>
          </w:tcPr>
          <w:p>
            <w:pPr>
              <w:spacing w:after="0"/>
              <w:rPr>
                <w:sz w:val="17"/>
                <w:szCs w:val="17"/>
                <w:color w:val="auto"/>
              </w:rPr>
            </w:pPr>
          </w:p>
        </w:tc>
      </w:tr>
      <w:tr>
        <w:trPr>
          <w:trHeight w:val="810"/>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SEQUENTIALLY</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6000" w:type="dxa"/>
            <w:vAlign w:val="bottom"/>
          </w:tcPr>
          <w:p>
            <w:pPr>
              <w:spacing w:after="0"/>
              <w:rPr>
                <w:sz w:val="17"/>
                <w:szCs w:val="17"/>
                <w:color w:val="auto"/>
              </w:rPr>
            </w:pP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NUMBERED</w:t>
            </w: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w:t>
            </w:r>
          </w:p>
        </w:tc>
        <w:tc>
          <w:tcPr>
            <w:tcW w:w="40" w:type="dxa"/>
            <w:vAlign w:val="bottom"/>
          </w:tcPr>
          <w:p>
            <w:pPr>
              <w:spacing w:after="0"/>
              <w:rPr>
                <w:sz w:val="17"/>
                <w:szCs w:val="17"/>
                <w:color w:val="auto"/>
              </w:rPr>
            </w:pPr>
          </w:p>
        </w:tc>
        <w:tc>
          <w:tcPr>
            <w:tcW w:w="600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DESCRIPTION</w:t>
            </w:r>
          </w:p>
        </w:tc>
        <w:tc>
          <w:tcPr>
            <w:tcW w:w="14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ind w:left="238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w:t>
            </w:r>
          </w:p>
        </w:tc>
        <w:tc>
          <w:tcPr>
            <w:tcW w:w="40" w:type="dxa"/>
            <w:vAlign w:val="bottom"/>
          </w:tcPr>
          <w:p>
            <w:pPr>
              <w:spacing w:after="0"/>
              <w:rPr>
                <w:sz w:val="24"/>
                <w:szCs w:val="24"/>
                <w:color w:val="auto"/>
              </w:rPr>
            </w:pPr>
          </w:p>
        </w:tc>
        <w:tc>
          <w:tcPr>
            <w:tcW w:w="6000" w:type="dxa"/>
            <w:vAlign w:val="bottom"/>
          </w:tcPr>
          <w:p>
            <w:pPr>
              <w:ind w:left="60"/>
              <w:spacing w:after="0"/>
              <w:rPr>
                <w:sz w:val="20"/>
                <w:szCs w:val="20"/>
                <w:color w:val="auto"/>
              </w:rPr>
            </w:pPr>
            <w:r>
              <w:rPr>
                <w:rFonts w:ascii="Courier New" w:cs="Courier New" w:eastAsia="Courier New" w:hAnsi="Courier New"/>
                <w:sz w:val="18"/>
                <w:szCs w:val="18"/>
                <w:color w:val="auto"/>
              </w:rPr>
              <w:t>-- Form of Underwriting Agreement.</w:t>
            </w:r>
          </w:p>
        </w:tc>
        <w:tc>
          <w:tcPr>
            <w:tcW w:w="1440" w:type="dxa"/>
            <w:vAlign w:val="bottom"/>
          </w:tcPr>
          <w:p>
            <w:pPr>
              <w:spacing w:after="0"/>
              <w:rPr>
                <w:sz w:val="24"/>
                <w:szCs w:val="24"/>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Charter of the Registrant.</w:t>
            </w:r>
          </w:p>
        </w:tc>
        <w:tc>
          <w:tcPr>
            <w:tcW w:w="1440" w:type="dxa"/>
            <w:vAlign w:val="bottom"/>
          </w:tcPr>
          <w:p>
            <w:pPr>
              <w:spacing w:after="0"/>
              <w:rPr>
                <w:sz w:val="17"/>
                <w:szCs w:val="17"/>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Bylaws of the Registrant.</w:t>
            </w:r>
          </w:p>
        </w:tc>
        <w:tc>
          <w:tcPr>
            <w:tcW w:w="1440" w:type="dxa"/>
            <w:vAlign w:val="bottom"/>
          </w:tcPr>
          <w:p>
            <w:pPr>
              <w:spacing w:after="0"/>
              <w:rPr>
                <w:sz w:val="17"/>
                <w:szCs w:val="17"/>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Stock Certificate of the Company.</w:t>
            </w:r>
          </w:p>
        </w:tc>
        <w:tc>
          <w:tcPr>
            <w:tcW w:w="1440" w:type="dxa"/>
            <w:vAlign w:val="bottom"/>
          </w:tcPr>
          <w:p>
            <w:pPr>
              <w:spacing w:after="0"/>
              <w:rPr>
                <w:sz w:val="17"/>
                <w:szCs w:val="17"/>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Opinion of Freshman, Marantz, Orlanski, Cooper &amp;</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Klein.</w:t>
            </w:r>
          </w:p>
        </w:tc>
        <w:tc>
          <w:tcPr>
            <w:tcW w:w="1440" w:type="dxa"/>
            <w:vAlign w:val="bottom"/>
          </w:tcPr>
          <w:p>
            <w:pPr>
              <w:spacing w:after="0"/>
              <w:rPr>
                <w:sz w:val="17"/>
                <w:szCs w:val="17"/>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Opinion of Ballard Spahr Andrews &amp; Ingersoll.</w:t>
            </w:r>
          </w:p>
        </w:tc>
        <w:tc>
          <w:tcPr>
            <w:tcW w:w="1440" w:type="dxa"/>
            <w:vAlign w:val="bottom"/>
          </w:tcPr>
          <w:p>
            <w:pPr>
              <w:spacing w:after="0"/>
              <w:rPr>
                <w:sz w:val="17"/>
                <w:szCs w:val="17"/>
                <w:color w:val="auto"/>
              </w:rPr>
            </w:pPr>
          </w:p>
        </w:tc>
      </w:tr>
      <w:tr>
        <w:trPr>
          <w:trHeight w:val="203"/>
        </w:trPr>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Opinion of Latham &amp; Watkins.</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Management Agreement between the Registrant</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Imperial Credit Advisors,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Submanagement Agreement between Imperial</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Credit Advisors, Inc. and Imperial Credit</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Industries,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Stock Option Plan.</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10.4+</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Indemnity Agreement between the Registrant</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its Directors and officers.</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Tax Agreement between the Registrant and</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Imperial Credit Industries,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10.6+</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Services Agreement between the Registrant</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and Imperial Credit Industries,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10.7+</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 Form of Sublease between the Registrant and Imperial</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Credit Industries, Inc. regarding Santa Ana Heights</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facility.</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10.8+</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Employment Agreement.</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10.9+</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Loan Purchase and Administrative Services</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Agreement between the Registrant and ICI Funding</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Corporation.</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10.10+</w:t>
            </w:r>
          </w:p>
        </w:tc>
        <w:tc>
          <w:tcPr>
            <w:tcW w:w="6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Form of Contribution Agreement between the</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Registrant, Imperial Credit Industries,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Southern Pacific Thrift &amp; Loan Association, ICI</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Funding Corporation and Imperial Warehouse Lending</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Group,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6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Form of Non-Competition Agreement between the</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Registrant and Imperial Credit Industries, Inc.</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10.12+</w:t>
            </w:r>
          </w:p>
        </w:tc>
        <w:tc>
          <w:tcPr>
            <w:tcW w:w="6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Form of Right of First Refusal Agreement between</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Imperial Credit Industries, Inc. and ICI Funding</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Corporation.</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10.13+</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Form of Dividend Reinvestment Plan.</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21.1+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Subsidiaries of the Registrant.</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Consent of Freshman, Marantz, Orlanski, Cooper &amp;</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Klein (contained in Exhibit 5.1).</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Consent of Ballard Spahr Andrews &amp; Ingersoll</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(contained in Exhibit 5.2).</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23.3*</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Consent of Latham &amp; Watkins (contained in Exhibit</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8.1).</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23.4</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Consent of KPMG Peat Marwick LLP regarding</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Registrant.</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23.5</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Consent of KPMG Peat Marwick LLP regarding ICI</w:t>
            </w:r>
          </w:p>
        </w:tc>
        <w:tc>
          <w:tcPr>
            <w:tcW w:w="14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Funding Corporation.</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24.1</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Power of Attorney (included on Signature page).</w:t>
            </w:r>
          </w:p>
        </w:tc>
        <w:tc>
          <w:tcPr>
            <w:tcW w:w="14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40" w:type="dxa"/>
            <w:vAlign w:val="bottom"/>
          </w:tcPr>
          <w:p>
            <w:pPr>
              <w:spacing w:after="0"/>
              <w:rPr>
                <w:sz w:val="17"/>
                <w:szCs w:val="17"/>
                <w:color w:val="auto"/>
              </w:rPr>
            </w:pPr>
          </w:p>
        </w:tc>
        <w:tc>
          <w:tcPr>
            <w:tcW w:w="6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Financial Data Schedule</w:t>
            </w:r>
          </w:p>
        </w:tc>
        <w:tc>
          <w:tcPr>
            <w:tcW w:w="14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1999" w:hanging="312"/>
        <w:spacing w:after="0" w:line="237" w:lineRule="auto"/>
        <w:tabs>
          <w:tab w:leader="none" w:pos="3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and all such exhibits have the corresponding Exhibit Number filed as part of the Registration Statement on Form S-11 (File No. 33-96670) and Amendments No. 1, 2 and 3 filed with the Securities and Exchange Commission on September 7, 1995, October 23, 1995, October 30, 1995 and November 8, 1995,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To be filed by amendment</w:t>
      </w:r>
    </w:p>
    <w:p>
      <w:pPr>
        <w:sectPr>
          <w:pgSz w:w="11900" w:h="16838" w:orient="portrait"/>
          <w:cols w:equalWidth="0" w:num="1">
            <w:col w:w="10219"/>
          </w:cols>
          <w:pgMar w:left="240" w:top="717" w:right="1440" w:bottom="1440" w:gutter="0" w:footer="0" w:header="0"/>
        </w:sectPr>
      </w:pPr>
    </w:p>
    <w:bookmarkStart w:id="167" w:name="page168"/>
    <w:bookmarkEnd w:id="167"/>
    <w:p>
      <w:pPr>
        <w:jc w:val="right"/>
        <w:ind w:right="1879"/>
        <w:spacing w:after="0"/>
        <w:rPr>
          <w:sz w:val="20"/>
          <w:szCs w:val="20"/>
          <w:color w:val="auto"/>
        </w:rPr>
      </w:pPr>
      <w:r>
        <w:rPr>
          <w:rFonts w:ascii="Courier New" w:cs="Courier New" w:eastAsia="Courier New" w:hAnsi="Courier New"/>
          <w:sz w:val="18"/>
          <w:szCs w:val="18"/>
          <w:color w:val="auto"/>
        </w:rPr>
        <w:t>EXHIBIT 23.4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Imperial Credit Mortgage Holdings,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consent to the use of our report included herein and to the reference to our firm under the headings "Selected Financial Data" and "Experts" in the prospectus. Our report dated January 25, 1996 contains an explanatory paragraph stating the Company adopted the provisions of Statement of Financial Accounting Standards No. 122, "Accounting for Mortgage Servicing Rights" for the year ended December 31,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38" w:lineRule="auto"/>
        <w:rPr>
          <w:sz w:val="20"/>
          <w:szCs w:val="20"/>
          <w:color w:val="auto"/>
        </w:rPr>
      </w:pPr>
      <w:r>
        <w:rPr>
          <w:rFonts w:ascii="Courier New" w:cs="Courier New" w:eastAsia="Courier New" w:hAnsi="Courier New"/>
          <w:sz w:val="18"/>
          <w:szCs w:val="18"/>
          <w:color w:val="auto"/>
        </w:rPr>
        <w:t>May 16, 1996</w:t>
      </w:r>
    </w:p>
    <w:p>
      <w:pPr>
        <w:sectPr>
          <w:pgSz w:w="11900" w:h="16838" w:orient="portrait"/>
          <w:cols w:equalWidth="0" w:num="1">
            <w:col w:w="10219"/>
          </w:cols>
          <w:pgMar w:left="240" w:top="542" w:right="1440" w:bottom="1440" w:gutter="0" w:footer="0" w:header="0"/>
        </w:sectPr>
      </w:pPr>
    </w:p>
    <w:bookmarkStart w:id="168" w:name="page169"/>
    <w:bookmarkEnd w:id="168"/>
    <w:p>
      <w:pPr>
        <w:jc w:val="right"/>
        <w:ind w:right="1879"/>
        <w:spacing w:after="0"/>
        <w:rPr>
          <w:sz w:val="20"/>
          <w:szCs w:val="20"/>
          <w:color w:val="auto"/>
        </w:rPr>
      </w:pPr>
      <w:r>
        <w:rPr>
          <w:rFonts w:ascii="Courier New" w:cs="Courier New" w:eastAsia="Courier New" w:hAnsi="Courier New"/>
          <w:sz w:val="18"/>
          <w:szCs w:val="18"/>
          <w:color w:val="auto"/>
        </w:rPr>
        <w:t>EXHIBIT 23.5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ICI Funding Corporation: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consent to the use of our report included herein and to the reference to our firm under the headings "Selected Financial Data" and "Experts" in the prospectus. Our report dated January 25, 1996 contains an explanatory paragraph stating the Company adopted the provisions of Statement of Financial Accounting Standards No. 122, "Accounting for Mortgage Servicing Rights" for the year ended December 31,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Orange County, California</w:t>
      </w:r>
    </w:p>
    <w:p>
      <w:pPr>
        <w:spacing w:after="0" w:line="238" w:lineRule="auto"/>
        <w:rPr>
          <w:sz w:val="20"/>
          <w:szCs w:val="20"/>
          <w:color w:val="auto"/>
        </w:rPr>
      </w:pPr>
      <w:r>
        <w:rPr>
          <w:rFonts w:ascii="Courier New" w:cs="Courier New" w:eastAsia="Courier New" w:hAnsi="Courier New"/>
          <w:sz w:val="18"/>
          <w:szCs w:val="18"/>
          <w:color w:val="auto"/>
        </w:rPr>
        <w:t>May 16, 1996</w:t>
      </w:r>
    </w:p>
    <w:sectPr>
      <w:pgSz w:w="11900" w:h="16838" w:orient="portrait"/>
      <w:cols w:equalWidth="0" w:num="1">
        <w:col w:w="10219"/>
      </w:cols>
      <w:pgMar w:left="240" w:top="5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10"/>
    </w:lvl>
  </w:abstractNum>
  <w:abstractNum w:abstractNumId="8">
    <w:nsid w:val="8138641"/>
    <w:multiLevelType w:val="hybridMultilevel"/>
    <w:lvl w:ilvl="0">
      <w:lvlJc w:val="left"/>
      <w:lvlText w:val="%1."/>
      <w:numFmt w:val="decimal"/>
      <w:start w:val="17"/>
    </w:lvl>
  </w:abstractNum>
  <w:abstractNum w:abstractNumId="9">
    <w:nsid w:val="1E7FF521"/>
    <w:multiLevelType w:val="hybridMultilevel"/>
    <w:lvl w:ilvl="0">
      <w:lvlJc w:val="left"/>
      <w:lvlText w:val="%1."/>
      <w:numFmt w:val="decimal"/>
      <w:start w:val="20"/>
    </w:lvl>
  </w:abstractNum>
  <w:abstractNum w:abstractNumId="10">
    <w:nsid w:val="7C3DBD3D"/>
    <w:multiLevelType w:val="hybridMultilevel"/>
    <w:lvl w:ilvl="0">
      <w:lvlJc w:val="left"/>
      <w:lvlText w:val="%1."/>
      <w:numFmt w:val="decimal"/>
      <w:start w:val="24"/>
    </w:lvl>
  </w:abstractNum>
  <w:abstractNum w:abstractNumId="11">
    <w:nsid w:val="737B8DDC"/>
    <w:multiLevelType w:val="hybridMultilevel"/>
    <w:lvl w:ilvl="0">
      <w:lvlJc w:val="left"/>
      <w:lvlText w:val="%1."/>
      <w:numFmt w:val="decimal"/>
      <w:start w:val="28"/>
    </w:lvl>
  </w:abstractNum>
  <w:abstractNum w:abstractNumId="12">
    <w:nsid w:val="6CEAF087"/>
    <w:multiLevelType w:val="hybridMultilevel"/>
    <w:lvl w:ilvl="0">
      <w:lvlJc w:val="left"/>
      <w:lvlText w:val="%1."/>
      <w:numFmt w:val="decimal"/>
      <w:start w:val="29"/>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3"/>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lowerRoman"/>
      <w:start w:val="3"/>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lvl w:ilvl="1">
      <w:lvlJc w:val="left"/>
      <w:lvlText w:val="%2."/>
      <w:numFmt w:val="upperLetter"/>
      <w:start w:val="8"/>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lowerRoman"/>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8"/>
    </w:lvl>
  </w:abstractNum>
  <w:abstractNum w:abstractNumId="39">
    <w:nsid w:val="7A6D8D3C"/>
    <w:multiLevelType w:val="hybridMultilevel"/>
    <w:lvl w:ilvl="0">
      <w:lvlJc w:val="left"/>
      <w:lvlText w:val="%1."/>
      <w:numFmt w:val="decimal"/>
      <w:start w:val="6"/>
    </w:lvl>
  </w:abstractNum>
  <w:abstractNum w:abstractNumId="40">
    <w:nsid w:val="4B588F54"/>
    <w:multiLevelType w:val="hybridMultilevel"/>
    <w:lvl w:ilvl="0">
      <w:lvlJc w:val="left"/>
      <w:lvlText w:val="%1."/>
      <w:numFmt w:val="decimal"/>
      <w:start w:val="9"/>
    </w:lvl>
  </w:abstractNum>
  <w:abstractNum w:abstractNumId="41">
    <w:nsid w:val="542289EC"/>
    <w:multiLevelType w:val="hybridMultilevel"/>
    <w:lvl w:ilvl="0">
      <w:lvlJc w:val="left"/>
      <w:lvlText w:val="%1."/>
      <w:numFmt w:val="decimal"/>
      <w:start w:val="10"/>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3"/>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decimal"/>
      <w:start w:val="1"/>
    </w:lvl>
  </w:abstractNum>
  <w:abstractNum w:abstractNumId="49">
    <w:nsid w:val="3DC240FB"/>
    <w:multiLevelType w:val="hybridMultilevel"/>
    <w:lvl w:ilvl="0">
      <w:lvlJc w:val="left"/>
      <w:lvlText w:val="(%1)"/>
      <w:numFmt w:val="decimal"/>
      <w:start w:val="4"/>
    </w:lvl>
    <w:lvl w:ilvl="1">
      <w:lvlJc w:val="left"/>
      <w:lvlText w:val="(%2)"/>
      <w:numFmt w:val="decimal"/>
      <w:start w:val="2"/>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2019-12-14T06:27:43Z</dcterms:created>
  <dcterms:modified xsi:type="dcterms:W3CDTF">2019-12-14T06:27:43Z</dcterms:modified>
</cp:coreProperties>
</file>