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SCHEDULE TO</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Tender Offer Statement under Section 14(d)(1) or 13(e)(1)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IMPAC MORTGAGE HOLDINGS,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Subject Company and Filing Person (Issuer))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CUSIP Number of Class of</w:t>
            </w:r>
          </w:p>
        </w:tc>
      </w:tr>
      <w:tr>
        <w:trPr>
          <w:trHeight w:val="238"/>
        </w:trPr>
        <w:tc>
          <w:tcPr>
            <w:tcW w:w="8320" w:type="dxa"/>
            <w:vAlign w:val="bottom"/>
            <w:tcBorders>
              <w:bottom w:val="single" w:sz="8" w:color="auto"/>
            </w:tcBorders>
          </w:tcPr>
          <w:p>
            <w:pPr>
              <w:ind w:left="316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c>
          <w:tcPr>
            <w:tcW w:w="80" w:type="dxa"/>
            <w:vAlign w:val="bottom"/>
          </w:tcPr>
          <w:p>
            <w:pPr>
              <w:spacing w:after="0"/>
              <w:rPr>
                <w:sz w:val="20"/>
                <w:szCs w:val="20"/>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w:t>
            </w:r>
          </w:p>
        </w:tc>
      </w:tr>
      <w:tr>
        <w:trPr>
          <w:trHeight w:val="191"/>
        </w:trPr>
        <w:tc>
          <w:tcPr>
            <w:tcW w:w="8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9.375% Series B Cumulative Redeemable Preferred Stock, par value $0.01 per share</w:t>
            </w:r>
          </w:p>
        </w:tc>
        <w:tc>
          <w:tcPr>
            <w:tcW w:w="80" w:type="dxa"/>
            <w:vAlign w:val="bottom"/>
          </w:tcPr>
          <w:p>
            <w:pPr>
              <w:spacing w:after="0"/>
              <w:rPr>
                <w:sz w:val="16"/>
                <w:szCs w:val="16"/>
                <w:color w:val="auto"/>
              </w:rPr>
            </w:pPr>
          </w:p>
        </w:tc>
        <w:tc>
          <w:tcPr>
            <w:tcW w:w="28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45254P300</w:t>
            </w:r>
          </w:p>
        </w:tc>
      </w:tr>
      <w:tr>
        <w:trPr>
          <w:trHeight w:val="234"/>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9.125% Series C Cumulative Redeemable Preferred Stock, par value $0.01 per share</w:t>
            </w:r>
          </w:p>
        </w:tc>
        <w:tc>
          <w:tcPr>
            <w:tcW w:w="8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45254P409</w:t>
            </w:r>
          </w:p>
        </w:tc>
      </w:tr>
    </w:tbl>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George A. Mangiaracina</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19500 Jamboree Road</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Irvine, California 92612</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(949) 475-3600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 communications on behalf of filing person)</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Copies to</w:t>
      </w:r>
      <w:r>
        <w:rPr>
          <w:rFonts w:ascii="Times New Roman" w:cs="Times New Roman" w:eastAsia="Times New Roman" w:hAnsi="Times New Roman"/>
          <w:sz w:val="18"/>
          <w:szCs w:val="18"/>
          <w:color w:val="auto"/>
        </w:rPr>
        <w: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7100" w:type="dxa"/>
            <w:vAlign w:val="bottom"/>
            <w:gridSpan w:val="2"/>
          </w:tcPr>
          <w:p>
            <w:pPr>
              <w:jc w:val="center"/>
              <w:ind w:right="4090"/>
              <w:spacing w:after="0"/>
              <w:rPr>
                <w:sz w:val="20"/>
                <w:szCs w:val="20"/>
                <w:color w:val="auto"/>
              </w:rPr>
            </w:pPr>
            <w:r>
              <w:rPr>
                <w:rFonts w:ascii="Times New Roman" w:cs="Times New Roman" w:eastAsia="Times New Roman" w:hAnsi="Times New Roman"/>
                <w:sz w:val="18"/>
                <w:szCs w:val="18"/>
                <w:b w:val="1"/>
                <w:bCs w:val="1"/>
                <w:color w:val="auto"/>
              </w:rPr>
              <w:t>Craig D. Miller</w:t>
            </w:r>
          </w:p>
        </w:tc>
      </w:tr>
      <w:tr>
        <w:trPr>
          <w:trHeight w:val="216"/>
        </w:trPr>
        <w:tc>
          <w:tcPr>
            <w:tcW w:w="4140" w:type="dxa"/>
            <w:vAlign w:val="bottom"/>
          </w:tcPr>
          <w:p>
            <w:pPr>
              <w:spacing w:after="0"/>
              <w:rPr>
                <w:sz w:val="18"/>
                <w:szCs w:val="18"/>
                <w:color w:val="auto"/>
              </w:rPr>
            </w:pPr>
          </w:p>
        </w:tc>
        <w:tc>
          <w:tcPr>
            <w:tcW w:w="7100" w:type="dxa"/>
            <w:vAlign w:val="bottom"/>
            <w:gridSpan w:val="2"/>
          </w:tcPr>
          <w:p>
            <w:pPr>
              <w:jc w:val="center"/>
              <w:ind w:right="4090"/>
              <w:spacing w:after="0"/>
              <w:rPr>
                <w:sz w:val="20"/>
                <w:szCs w:val="20"/>
                <w:color w:val="auto"/>
              </w:rPr>
            </w:pPr>
            <w:r>
              <w:rPr>
                <w:rFonts w:ascii="Times New Roman" w:cs="Times New Roman" w:eastAsia="Times New Roman" w:hAnsi="Times New Roman"/>
                <w:sz w:val="18"/>
                <w:szCs w:val="18"/>
                <w:b w:val="1"/>
                <w:bCs w:val="1"/>
                <w:color w:val="auto"/>
                <w:w w:val="98"/>
              </w:rPr>
              <w:t>Veronica Lah</w:t>
            </w:r>
          </w:p>
        </w:tc>
      </w:tr>
      <w:tr>
        <w:trPr>
          <w:trHeight w:val="216"/>
        </w:trPr>
        <w:tc>
          <w:tcPr>
            <w:tcW w:w="4140" w:type="dxa"/>
            <w:vAlign w:val="bottom"/>
          </w:tcPr>
          <w:p>
            <w:pPr>
              <w:spacing w:after="0"/>
              <w:rPr>
                <w:sz w:val="18"/>
                <w:szCs w:val="18"/>
                <w:color w:val="auto"/>
              </w:rPr>
            </w:pPr>
          </w:p>
        </w:tc>
        <w:tc>
          <w:tcPr>
            <w:tcW w:w="7100" w:type="dxa"/>
            <w:vAlign w:val="bottom"/>
            <w:gridSpan w:val="2"/>
          </w:tcPr>
          <w:p>
            <w:pPr>
              <w:jc w:val="center"/>
              <w:ind w:right="4090"/>
              <w:spacing w:after="0"/>
              <w:rPr>
                <w:sz w:val="20"/>
                <w:szCs w:val="20"/>
                <w:color w:val="auto"/>
              </w:rPr>
            </w:pPr>
            <w:r>
              <w:rPr>
                <w:rFonts w:ascii="Times New Roman" w:cs="Times New Roman" w:eastAsia="Times New Roman" w:hAnsi="Times New Roman"/>
                <w:sz w:val="18"/>
                <w:szCs w:val="18"/>
                <w:b w:val="1"/>
                <w:bCs w:val="1"/>
                <w:color w:val="auto"/>
              </w:rPr>
              <w:t>Manatt, Phelps &amp; Phillips, LLP</w:t>
            </w:r>
          </w:p>
        </w:tc>
      </w:tr>
      <w:tr>
        <w:trPr>
          <w:trHeight w:val="216"/>
        </w:trPr>
        <w:tc>
          <w:tcPr>
            <w:tcW w:w="4140" w:type="dxa"/>
            <w:vAlign w:val="bottom"/>
          </w:tcPr>
          <w:p>
            <w:pPr>
              <w:spacing w:after="0"/>
              <w:rPr>
                <w:sz w:val="18"/>
                <w:szCs w:val="18"/>
                <w:color w:val="auto"/>
              </w:rPr>
            </w:pPr>
          </w:p>
        </w:tc>
        <w:tc>
          <w:tcPr>
            <w:tcW w:w="7100" w:type="dxa"/>
            <w:vAlign w:val="bottom"/>
            <w:gridSpan w:val="2"/>
          </w:tcPr>
          <w:p>
            <w:pPr>
              <w:jc w:val="center"/>
              <w:ind w:right="4090"/>
              <w:spacing w:after="0"/>
              <w:rPr>
                <w:sz w:val="20"/>
                <w:szCs w:val="20"/>
                <w:color w:val="auto"/>
              </w:rPr>
            </w:pPr>
            <w:r>
              <w:rPr>
                <w:rFonts w:ascii="Times New Roman" w:cs="Times New Roman" w:eastAsia="Times New Roman" w:hAnsi="Times New Roman"/>
                <w:sz w:val="18"/>
                <w:szCs w:val="18"/>
                <w:b w:val="1"/>
                <w:bCs w:val="1"/>
                <w:color w:val="auto"/>
                <w:w w:val="99"/>
              </w:rPr>
              <w:t>One Embarcadero Center</w:t>
            </w:r>
          </w:p>
        </w:tc>
      </w:tr>
      <w:tr>
        <w:trPr>
          <w:trHeight w:val="216"/>
        </w:trPr>
        <w:tc>
          <w:tcPr>
            <w:tcW w:w="4140" w:type="dxa"/>
            <w:vAlign w:val="bottom"/>
          </w:tcPr>
          <w:p>
            <w:pPr>
              <w:spacing w:after="0"/>
              <w:rPr>
                <w:sz w:val="18"/>
                <w:szCs w:val="18"/>
                <w:color w:val="auto"/>
              </w:rPr>
            </w:pPr>
          </w:p>
        </w:tc>
        <w:tc>
          <w:tcPr>
            <w:tcW w:w="7100" w:type="dxa"/>
            <w:vAlign w:val="bottom"/>
            <w:gridSpan w:val="2"/>
          </w:tcPr>
          <w:p>
            <w:pPr>
              <w:jc w:val="center"/>
              <w:ind w:right="4090"/>
              <w:spacing w:after="0"/>
              <w:rPr>
                <w:sz w:val="20"/>
                <w:szCs w:val="20"/>
                <w:color w:val="auto"/>
              </w:rPr>
            </w:pPr>
            <w:r>
              <w:rPr>
                <w:rFonts w:ascii="Times New Roman" w:cs="Times New Roman" w:eastAsia="Times New Roman" w:hAnsi="Times New Roman"/>
                <w:sz w:val="18"/>
                <w:szCs w:val="18"/>
                <w:b w:val="1"/>
                <w:bCs w:val="1"/>
                <w:color w:val="auto"/>
                <w:w w:val="99"/>
              </w:rPr>
              <w:t>San Francisco, California 94111</w:t>
            </w:r>
          </w:p>
        </w:tc>
      </w:tr>
      <w:tr>
        <w:trPr>
          <w:trHeight w:val="238"/>
        </w:trPr>
        <w:tc>
          <w:tcPr>
            <w:tcW w:w="4140" w:type="dxa"/>
            <w:vAlign w:val="bottom"/>
          </w:tcPr>
          <w:p>
            <w:pPr>
              <w:spacing w:after="0"/>
              <w:rPr>
                <w:sz w:val="20"/>
                <w:szCs w:val="20"/>
                <w:color w:val="auto"/>
              </w:rPr>
            </w:pPr>
          </w:p>
        </w:tc>
        <w:tc>
          <w:tcPr>
            <w:tcW w:w="208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(415) 291-7400</w:t>
            </w:r>
          </w:p>
        </w:tc>
        <w:tc>
          <w:tcPr>
            <w:tcW w:w="5020" w:type="dxa"/>
            <w:vAlign w:val="bottom"/>
          </w:tcPr>
          <w:p>
            <w:pPr>
              <w:spacing w:after="0"/>
              <w:rPr>
                <w:sz w:val="20"/>
                <w:szCs w:val="20"/>
                <w:color w:val="auto"/>
              </w:rPr>
            </w:pPr>
          </w:p>
        </w:tc>
      </w:tr>
      <w:tr>
        <w:trPr>
          <w:trHeight w:val="432"/>
        </w:trPr>
        <w:tc>
          <w:tcPr>
            <w:tcW w:w="4140" w:type="dxa"/>
            <w:vAlign w:val="bottom"/>
          </w:tcPr>
          <w:p>
            <w:pPr>
              <w:spacing w:after="0"/>
              <w:rPr>
                <w:sz w:val="24"/>
                <w:szCs w:val="24"/>
                <w:color w:val="auto"/>
              </w:rPr>
            </w:pPr>
          </w:p>
        </w:tc>
        <w:tc>
          <w:tcPr>
            <w:tcW w:w="7100" w:type="dxa"/>
            <w:vAlign w:val="bottom"/>
            <w:gridSpan w:val="2"/>
          </w:tcPr>
          <w:p>
            <w:pPr>
              <w:jc w:val="center"/>
              <w:ind w:right="4050"/>
              <w:spacing w:after="0"/>
              <w:rPr>
                <w:sz w:val="20"/>
                <w:szCs w:val="20"/>
                <w:color w:val="auto"/>
              </w:rPr>
            </w:pPr>
            <w:r>
              <w:rPr>
                <w:rFonts w:ascii="Times New Roman" w:cs="Times New Roman" w:eastAsia="Times New Roman" w:hAnsi="Times New Roman"/>
                <w:sz w:val="18"/>
                <w:szCs w:val="18"/>
                <w:b w:val="1"/>
                <w:bCs w:val="1"/>
                <w:color w:val="auto"/>
                <w:w w:val="99"/>
              </w:rPr>
              <w:t>CALCULATION OF FILING FEE</w:t>
            </w:r>
          </w:p>
        </w:tc>
      </w:tr>
      <w:tr>
        <w:trPr>
          <w:trHeight w:val="216"/>
        </w:trPr>
        <w:tc>
          <w:tcPr>
            <w:tcW w:w="41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tcPr>
          <w:p>
            <w:pPr>
              <w:spacing w:after="0"/>
              <w:rPr>
                <w:sz w:val="18"/>
                <w:szCs w:val="18"/>
                <w:color w:val="auto"/>
              </w:rPr>
            </w:pPr>
          </w:p>
        </w:tc>
      </w:tr>
      <w:tr>
        <w:trPr>
          <w:trHeight w:val="210"/>
        </w:trPr>
        <w:tc>
          <w:tcPr>
            <w:tcW w:w="4140" w:type="dxa"/>
            <w:vAlign w:val="bottom"/>
            <w:tcBorders>
              <w:left w:val="single" w:sz="8" w:color="auto"/>
              <w:bottom w:val="single" w:sz="8" w:color="auto"/>
            </w:tcBorders>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8"/>
              </w:rPr>
              <w:t>Transaction Valuation*</w:t>
            </w:r>
          </w:p>
        </w:tc>
        <w:tc>
          <w:tcPr>
            <w:tcW w:w="2080" w:type="dxa"/>
            <w:vAlign w:val="bottom"/>
            <w:tcBorders>
              <w:bottom w:val="single" w:sz="8" w:color="auto"/>
              <w:right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Filing Fee*</w:t>
            </w:r>
          </w:p>
        </w:tc>
      </w:tr>
      <w:tr>
        <w:trPr>
          <w:trHeight w:val="210"/>
        </w:trPr>
        <w:tc>
          <w:tcPr>
            <w:tcW w:w="4140" w:type="dxa"/>
            <w:vAlign w:val="bottom"/>
            <w:tcBorders>
              <w:left w:val="single" w:sz="8" w:color="auto"/>
              <w:bottom w:val="single" w:sz="8" w:color="auto"/>
            </w:tcBorders>
          </w:tcPr>
          <w:p>
            <w:pPr>
              <w:jc w:val="center"/>
              <w:ind w:left="1990"/>
              <w:spacing w:after="0"/>
              <w:rPr>
                <w:sz w:val="20"/>
                <w:szCs w:val="20"/>
                <w:color w:val="auto"/>
              </w:rPr>
            </w:pPr>
            <w:r>
              <w:rPr>
                <w:rFonts w:ascii="Times New Roman" w:cs="Times New Roman" w:eastAsia="Times New Roman" w:hAnsi="Times New Roman"/>
                <w:sz w:val="18"/>
                <w:szCs w:val="18"/>
                <w:color w:val="auto"/>
              </w:rPr>
              <w:t>Not applicable</w:t>
            </w:r>
          </w:p>
        </w:tc>
        <w:tc>
          <w:tcPr>
            <w:tcW w:w="2080" w:type="dxa"/>
            <w:vAlign w:val="bottom"/>
            <w:tcBorders>
              <w:bottom w:val="single" w:sz="8" w:color="auto"/>
              <w:right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Not applicable</w:t>
            </w:r>
          </w:p>
        </w:tc>
      </w:tr>
    </w:tbl>
    <w:p>
      <w:pPr>
        <w:spacing w:after="0" w:line="198" w:lineRule="exact"/>
        <w:rPr>
          <w:sz w:val="24"/>
          <w:szCs w:val="24"/>
          <w:color w:val="auto"/>
        </w:rPr>
      </w:pPr>
    </w:p>
    <w:p>
      <w:pPr>
        <w:ind w:left="340" w:right="20" w:hanging="328"/>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filing fee is not required in connection with this filing as it relates solely to preliminary communications made before the commencement of a tender offer.</w:t>
      </w:r>
    </w:p>
    <w:p>
      <w:pPr>
        <w:spacing w:after="0" w:line="162" w:lineRule="exact"/>
        <w:rPr>
          <w:sz w:val="24"/>
          <w:szCs w:val="24"/>
          <w:color w:val="auto"/>
        </w:rPr>
      </w:pPr>
    </w:p>
    <w:p>
      <w:pPr>
        <w:ind w:left="800" w:right="20" w:hanging="788"/>
        <w:spacing w:after="0" w:line="282" w:lineRule="auto"/>
        <w:tabs>
          <w:tab w:leader="none" w:pos="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Amount Previously Paid: N/A Filing Party: N/A</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 or Registration No.: N/A Date Filed: N/A</w:t>
      </w:r>
    </w:p>
    <w:p>
      <w:pPr>
        <w:spacing w:after="0" w:line="207" w:lineRule="exact"/>
        <w:rPr>
          <w:sz w:val="24"/>
          <w:szCs w:val="24"/>
          <w:color w:val="auto"/>
        </w:rPr>
      </w:pPr>
    </w:p>
    <w:p>
      <w:pPr>
        <w:ind w:right="1620" w:firstLine="12"/>
        <w:spacing w:after="0" w:line="484" w:lineRule="auto"/>
        <w:tabs>
          <w:tab w:leader="none" w:pos="787"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1"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third-party tender offer subject to Rule 14d-1</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issuer tender offer subject to Rule 13e-4</w:t>
      </w:r>
    </w:p>
    <w:p>
      <w:pPr>
        <w:spacing w:after="0" w:line="9"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going-private transaction subject to Rule 13e-3</w:t>
      </w:r>
    </w:p>
    <w:p>
      <w:pPr>
        <w:spacing w:after="0" w:line="9"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amendment to Schedule 13D under Rule 13d-2</w:t>
      </w:r>
    </w:p>
    <w:p>
      <w:pPr>
        <w:spacing w:after="0" w:line="17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19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Rule 13e-4(i) (Cross-Border Issuer Tender Offer)</w:t>
      </w:r>
    </w:p>
    <w:p>
      <w:pPr>
        <w:spacing w:after="0" w:line="51"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On July 15, 2022, Impac Mortgage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filed a Registration Statement on Form S-4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relating to an offer to exchange any and all of the outstanding shares of the following series of its preferred stock for, at the election of each holder, the consideration defined below (each an “</w:t>
      </w:r>
      <w:r>
        <w:rPr>
          <w:rFonts w:ascii="Times New Roman" w:cs="Times New Roman" w:eastAsia="Times New Roman" w:hAnsi="Times New Roman"/>
          <w:sz w:val="18"/>
          <w:szCs w:val="18"/>
          <w:u w:val="single" w:color="auto"/>
          <w:color w:val="auto"/>
        </w:rPr>
        <w:t>Exchange Offer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Exchange Offers</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337" w:right="339" w:bottom="1440" w:gutter="0" w:footer="0" w:header="0"/>
        </w:sectPr>
      </w:pP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6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Cash/</w:t>
            </w: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8.25% Series D Cumulative</w:t>
            </w: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Redeemable Preferred Stock</w:t>
            </w:r>
          </w:p>
        </w:tc>
      </w:tr>
      <w:tr>
        <w:trPr>
          <w:trHeight w:val="198"/>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320"/>
              <w:spacing w:after="0" w:line="198" w:lineRule="exact"/>
              <w:rPr>
                <w:sz w:val="20"/>
                <w:szCs w:val="20"/>
                <w:color w:val="auto"/>
              </w:rPr>
            </w:pPr>
            <w:r>
              <w:rPr>
                <w:rFonts w:ascii="Times New Roman" w:cs="Times New Roman" w:eastAsia="Times New Roman" w:hAnsi="Times New Roman"/>
                <w:sz w:val="18"/>
                <w:szCs w:val="18"/>
                <w:b w:val="1"/>
                <w:bCs w:val="1"/>
                <w:color w:val="auto"/>
              </w:rPr>
              <w:t>Shares</w:t>
            </w:r>
          </w:p>
        </w:tc>
        <w:tc>
          <w:tcPr>
            <w:tcW w:w="3120" w:type="dxa"/>
            <w:vAlign w:val="bottom"/>
            <w:gridSpan w:val="3"/>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(“New Preferred Stock”)</w:t>
            </w:r>
          </w:p>
        </w:tc>
      </w:tr>
      <w:tr>
        <w:trPr>
          <w:trHeight w:val="237"/>
        </w:trPr>
        <w:tc>
          <w:tcPr>
            <w:tcW w:w="222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CUSIP</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Symbol</w:t>
            </w:r>
          </w:p>
        </w:tc>
        <w:tc>
          <w:tcPr>
            <w:tcW w:w="1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760" w:type="dxa"/>
            <w:vAlign w:val="bottom"/>
          </w:tcPr>
          <w:p>
            <w:pPr>
              <w:spacing w:after="0"/>
              <w:rPr>
                <w:sz w:val="20"/>
                <w:szCs w:val="20"/>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740" w:type="dxa"/>
            <w:vAlign w:val="bottom"/>
          </w:tcPr>
          <w:p>
            <w:pPr>
              <w:spacing w:after="0"/>
              <w:rPr>
                <w:sz w:val="20"/>
                <w:szCs w:val="20"/>
                <w:color w:val="auto"/>
              </w:rPr>
            </w:pPr>
          </w:p>
        </w:tc>
      </w:tr>
      <w:tr>
        <w:trPr>
          <w:trHeight w:val="191"/>
        </w:trPr>
        <w:tc>
          <w:tcPr>
            <w:tcW w:w="2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9.375% Series B Cumulative</w:t>
            </w:r>
          </w:p>
        </w:tc>
        <w:tc>
          <w:tcPr>
            <w:tcW w:w="100" w:type="dxa"/>
            <w:vAlign w:val="bottom"/>
          </w:tcPr>
          <w:p>
            <w:pPr>
              <w:spacing w:after="0"/>
              <w:rPr>
                <w:sz w:val="16"/>
                <w:szCs w:val="16"/>
                <w:color w:val="auto"/>
              </w:rPr>
            </w:pPr>
          </w:p>
        </w:tc>
        <w:tc>
          <w:tcPr>
            <w:tcW w:w="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45254P300</w:t>
            </w:r>
          </w:p>
        </w:tc>
        <w:tc>
          <w:tcPr>
            <w:tcW w:w="100" w:type="dxa"/>
            <w:vAlign w:val="bottom"/>
          </w:tcPr>
          <w:p>
            <w:pPr>
              <w:spacing w:after="0"/>
              <w:rPr>
                <w:sz w:val="16"/>
                <w:szCs w:val="16"/>
                <w:color w:val="auto"/>
              </w:rPr>
            </w:pPr>
          </w:p>
        </w:tc>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IMPHP</w:t>
            </w:r>
          </w:p>
        </w:tc>
        <w:tc>
          <w:tcPr>
            <w:tcW w:w="100" w:type="dxa"/>
            <w:vAlign w:val="bottom"/>
          </w:tcPr>
          <w:p>
            <w:pPr>
              <w:spacing w:after="0"/>
              <w:rPr>
                <w:sz w:val="16"/>
                <w:szCs w:val="16"/>
                <w:color w:val="auto"/>
              </w:rPr>
            </w:pP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665,592</w:t>
            </w:r>
          </w:p>
        </w:tc>
        <w:tc>
          <w:tcPr>
            <w:tcW w:w="100" w:type="dxa"/>
            <w:vAlign w:val="bottom"/>
          </w:tcPr>
          <w:p>
            <w:pPr>
              <w:spacing w:after="0"/>
              <w:rPr>
                <w:sz w:val="16"/>
                <w:szCs w:val="16"/>
                <w:color w:val="auto"/>
              </w:rPr>
            </w:pPr>
          </w:p>
        </w:tc>
        <w:tc>
          <w:tcPr>
            <w:tcW w:w="3120" w:type="dxa"/>
            <w:vAlign w:val="bottom"/>
            <w:tcBorders>
              <w:top w:val="single" w:sz="8" w:color="auto"/>
            </w:tcBorders>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$5.00 in cash or, if the Company is</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prohibited from paying cash, fifty (50)</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par value $0.01 per share</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shares of New Preferred Stock subject to</w:t>
            </w: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reduction and/or partial escrow.</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9.125% Series C Cumulative</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45254P409</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6"/>
              </w:rPr>
              <w:t>IMPHO</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1,405,086</w:t>
            </w:r>
          </w:p>
        </w:tc>
        <w:tc>
          <w:tcPr>
            <w:tcW w:w="3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$0.10 in cash or, if the Company is</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prohibited from paying cash, one (1) share</w:t>
            </w:r>
          </w:p>
        </w:tc>
      </w:tr>
      <w:tr>
        <w:trPr>
          <w:trHeight w:val="23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par value $0.01 per share</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of New Preferred Stock.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548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Securities Per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1894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ind w:right="20"/>
        <w:spacing w:after="0" w:line="254" w:lineRule="auto"/>
        <w:rPr>
          <w:sz w:val="20"/>
          <w:szCs w:val="20"/>
          <w:color w:val="auto"/>
        </w:rPr>
      </w:pPr>
      <w:r>
        <w:rPr>
          <w:rFonts w:ascii="Times New Roman" w:cs="Times New Roman" w:eastAsia="Times New Roman" w:hAnsi="Times New Roman"/>
          <w:sz w:val="18"/>
          <w:szCs w:val="18"/>
          <w:color w:val="auto"/>
        </w:rPr>
        <w:t>Twenty (20) shares of newly issued common stock, par value $0.01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subject to reduction and/or partial escrow.</w:t>
      </w:r>
    </w:p>
    <w:p>
      <w:pPr>
        <w:spacing w:after="0" w:line="1" w:lineRule="exact"/>
        <w:rPr>
          <w:sz w:val="20"/>
          <w:szCs w:val="20"/>
          <w:color w:val="auto"/>
        </w:rPr>
      </w:pPr>
    </w:p>
    <w:p>
      <w:pPr>
        <w:jc w:val="both"/>
        <w:ind w:right="140"/>
        <w:spacing w:after="0" w:line="253" w:lineRule="auto"/>
        <w:rPr>
          <w:sz w:val="20"/>
          <w:szCs w:val="20"/>
          <w:color w:val="auto"/>
        </w:rPr>
      </w:pPr>
      <w:r>
        <w:rPr>
          <w:rFonts w:ascii="Times New Roman" w:cs="Times New Roman" w:eastAsia="Times New Roman" w:hAnsi="Times New Roman"/>
          <w:sz w:val="18"/>
          <w:szCs w:val="18"/>
          <w:color w:val="auto"/>
        </w:rPr>
        <w:t>1.25 shares of newly issued Common Stock and 1.5 warrants to purchase 1.5 shares of Common Stock at an exercise price of $5.00 per share.</w:t>
      </w:r>
    </w:p>
    <w:p>
      <w:pPr>
        <w:spacing w:after="0" w:line="189" w:lineRule="exact"/>
        <w:rPr>
          <w:sz w:val="20"/>
          <w:szCs w:val="20"/>
          <w:color w:val="auto"/>
        </w:rPr>
      </w:pPr>
    </w:p>
    <w:p>
      <w:pPr>
        <w:sectPr>
          <w:pgSz w:w="11900" w:h="16838" w:orient="portrait"/>
          <w:cols w:equalWidth="0" w:num="2">
            <w:col w:w="8140" w:space="120"/>
            <w:col w:w="2980"/>
          </w:cols>
          <w:pgMar w:left="320" w:top="33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Prospectus/Consent Solicitation included in the Registration Statement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is incorporated herein by reference as Exhibit 99.1.</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Registration Statement has not yet been declared effective by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The Exchange Offers described in the Prospectus have not yet commenced, and there can be no assurances that the Company will commence the Exchange Offers on the terms described in the Prospectus or at all. If the Company commences the Exchange Offers, the Exchange Offers will be made solely by the Prospectus, the related Letters of Transmittal and Consent, and certain other related materials, which the Company will file with the SEC. </w:t>
      </w:r>
      <w:r>
        <w:rPr>
          <w:rFonts w:ascii="Times New Roman" w:cs="Times New Roman" w:eastAsia="Times New Roman" w:hAnsi="Times New Roman"/>
          <w:sz w:val="18"/>
          <w:szCs w:val="18"/>
          <w:b w:val="1"/>
          <w:bCs w:val="1"/>
          <w:color w:val="auto"/>
        </w:rPr>
        <w:t>Investors are urged to read these materials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the Company’s tender offer statement on Schedule TO to be filed with the SEC in connection with the Exchange Offers when they become available, as well as any other relevant documents filed with the SEC when they become available, carefully and in their entirety because they will contain important information, including the terms and conditions of the Exchange Offers. </w:t>
      </w:r>
      <w:r>
        <w:rPr>
          <w:rFonts w:ascii="Times New Roman" w:cs="Times New Roman" w:eastAsia="Times New Roman" w:hAnsi="Times New Roman"/>
          <w:sz w:val="18"/>
          <w:szCs w:val="18"/>
          <w:color w:val="auto"/>
        </w:rPr>
        <w:t>If the Company commences the Exchange Offers, it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file each of the documents referenced herein with the SEC, and, when available, investors may obtain a free copy of them from the SEC at its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0160" w:type="dxa"/>
            <w:vAlign w:val="bottom"/>
          </w:tcPr>
          <w:p>
            <w:pPr>
              <w:spacing w:after="0"/>
              <w:rPr>
                <w:sz w:val="20"/>
                <w:szCs w:val="20"/>
                <w:color w:val="auto"/>
              </w:rPr>
            </w:pPr>
          </w:p>
        </w:tc>
      </w:tr>
      <w:tr>
        <w:trPr>
          <w:trHeight w:val="432"/>
        </w:trPr>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07"/>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Prospectus/Consent Solicitation, dated July 15, 2022 (the “Prospectus”) (incorporated by reference to the Company’s Registration</w:t>
            </w:r>
          </w:p>
        </w:tc>
      </w:tr>
      <w:tr>
        <w:trPr>
          <w:trHeight w:val="234"/>
        </w:trPr>
        <w:tc>
          <w:tcPr>
            <w:tcW w:w="1080" w:type="dxa"/>
            <w:vAlign w:val="bottom"/>
          </w:tcPr>
          <w:p>
            <w:pPr>
              <w:spacing w:after="0"/>
              <w:rPr>
                <w:sz w:val="20"/>
                <w:szCs w:val="20"/>
                <w:color w:val="auto"/>
              </w:rPr>
            </w:pPr>
          </w:p>
        </w:tc>
        <w:tc>
          <w:tcPr>
            <w:tcW w:w="10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Statement on Form S-4 (Reg. No. 333-266167), filed July 15, 2022)</w:t>
            </w:r>
            <w:r>
              <w:rPr>
                <w:rFonts w:ascii="Times New Roman" w:cs="Times New Roman" w:eastAsia="Times New Roman" w:hAnsi="Times New Roman"/>
                <w:sz w:val="18"/>
                <w:szCs w:val="18"/>
                <w:color w:val="0000EE"/>
              </w:rPr>
              <w:t>.</w:t>
            </w:r>
          </w:p>
        </w:tc>
      </w:tr>
      <w:tr>
        <w:trPr>
          <w:trHeight w:val="432"/>
        </w:trPr>
        <w:tc>
          <w:tcPr>
            <w:tcW w:w="108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2022-07-15T16:04:40Z</dcterms:created>
  <dcterms:modified xsi:type="dcterms:W3CDTF">2022-07-15T16:04:40Z</dcterms:modified>
</cp:coreProperties>
</file>