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IMPAC MORTGAGE HOLDINGS,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45254P508</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45254P508</w:t>
      </w:r>
    </w:p>
    <w:p>
      <w:pPr>
        <w:spacing w:after="0" w:line="148" w:lineRule="exact"/>
        <w:rPr>
          <w:sz w:val="20"/>
          <w:szCs w:val="20"/>
          <w:color w:val="auto"/>
        </w:rPr>
      </w:pPr>
    </w:p>
    <w:p>
      <w:pPr>
        <w:ind w:left="244"/>
        <w:spacing w:after="0"/>
        <w:tabs>
          <w:tab w:leader="none" w:pos="504"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03415" cy="5237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22"/>
                <w:szCs w:val="22"/>
                <w:color w:val="auto"/>
              </w:rPr>
              <w:t>Todd M. Pickup, an individual</w:t>
            </w:r>
          </w:p>
        </w:tc>
        <w:tc>
          <w:tcPr>
            <w:tcW w:w="0" w:type="dxa"/>
            <w:vAlign w:val="bottom"/>
          </w:tcPr>
          <w:p>
            <w:pPr>
              <w:spacing w:after="0"/>
              <w:rPr>
                <w:sz w:val="1"/>
                <w:szCs w:val="1"/>
                <w:color w:val="auto"/>
              </w:rPr>
            </w:pPr>
          </w:p>
        </w:tc>
      </w:tr>
      <w:tr>
        <w:trPr>
          <w:trHeight w:val="163"/>
        </w:trPr>
        <w:tc>
          <w:tcPr>
            <w:tcW w:w="4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94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SEC Use Only</w:t>
            </w:r>
          </w:p>
        </w:tc>
        <w:tc>
          <w:tcPr>
            <w:tcW w:w="9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200" w:type="dxa"/>
            <w:vAlign w:val="bottom"/>
            <w:tcBorders>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2,843,972.6 (1)</w:t>
            </w:r>
          </w:p>
        </w:tc>
        <w:tc>
          <w:tcPr>
            <w:tcW w:w="0" w:type="dxa"/>
            <w:vAlign w:val="bottom"/>
          </w:tcPr>
          <w:p>
            <w:pPr>
              <w:spacing w:after="0"/>
              <w:rPr>
                <w:sz w:val="1"/>
                <w:szCs w:val="1"/>
                <w:color w:val="auto"/>
              </w:rPr>
            </w:pPr>
          </w:p>
        </w:tc>
      </w:tr>
      <w:tr>
        <w:trPr>
          <w:trHeight w:val="43"/>
        </w:trPr>
        <w:tc>
          <w:tcPr>
            <w:tcW w:w="1200" w:type="dxa"/>
            <w:vAlign w:val="bottom"/>
            <w:tcBorders>
              <w:right w:val="single" w:sz="8" w:color="auto"/>
            </w:tcBorders>
            <w:gridSpan w:val="3"/>
            <w:vMerge w:val="continue"/>
          </w:tcPr>
          <w:p>
            <w:pPr>
              <w:spacing w:after="0"/>
              <w:rPr>
                <w:sz w:val="3"/>
                <w:szCs w:val="3"/>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84"/>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0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180,000 (2)</w:t>
            </w:r>
          </w:p>
        </w:tc>
        <w:tc>
          <w:tcPr>
            <w:tcW w:w="0" w:type="dxa"/>
            <w:vAlign w:val="bottom"/>
          </w:tcPr>
          <w:p>
            <w:pPr>
              <w:spacing w:after="0"/>
              <w:rPr>
                <w:sz w:val="1"/>
                <w:szCs w:val="1"/>
                <w:color w:val="auto"/>
              </w:rPr>
            </w:pPr>
          </w:p>
        </w:tc>
      </w:tr>
      <w:tr>
        <w:trPr>
          <w:trHeight w:val="234"/>
        </w:trPr>
        <w:tc>
          <w:tcPr>
            <w:tcW w:w="12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right w:val="single" w:sz="8" w:color="auto"/>
            </w:tcBorders>
          </w:tcPr>
          <w:p>
            <w:pPr>
              <w:jc w:val="center"/>
              <w:ind w:right="224"/>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right w:val="single" w:sz="8" w:color="auto"/>
            </w:tcBorders>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4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0" w:type="dxa"/>
            <w:vAlign w:val="bottom"/>
          </w:tcPr>
          <w:p>
            <w:pPr>
              <w:spacing w:after="0"/>
              <w:rPr>
                <w:sz w:val="21"/>
                <w:szCs w:val="21"/>
                <w:color w:val="auto"/>
              </w:rPr>
            </w:pPr>
          </w:p>
        </w:tc>
        <w:tc>
          <w:tcPr>
            <w:tcW w:w="800" w:type="dxa"/>
            <w:vAlign w:val="bottom"/>
            <w:tcBorders>
              <w:right w:val="single" w:sz="8" w:color="auto"/>
            </w:tcBorders>
            <w:gridSpan w:val="2"/>
          </w:tcPr>
          <w:p>
            <w:pPr>
              <w:jc w:val="center"/>
              <w:ind w:right="184"/>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20" w:type="dxa"/>
            <w:vAlign w:val="bottom"/>
          </w:tcPr>
          <w:p>
            <w:pPr>
              <w:ind w:left="20"/>
              <w:spacing w:after="0" w:line="248" w:lineRule="exact"/>
              <w:rPr>
                <w:sz w:val="20"/>
                <w:szCs w:val="20"/>
                <w:color w:val="auto"/>
              </w:rPr>
            </w:pPr>
            <w:r>
              <w:rPr>
                <w:rFonts w:ascii="Times New Roman" w:cs="Times New Roman" w:eastAsia="Times New Roman" w:hAnsi="Times New Roman"/>
                <w:sz w:val="22"/>
                <w:szCs w:val="22"/>
                <w:color w:val="auto"/>
              </w:rPr>
              <w:t>2,843,972.6 (1)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224"/>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3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2"/>
                <w:szCs w:val="12"/>
                <w:color w:val="auto"/>
              </w:rPr>
            </w:pPr>
          </w:p>
        </w:tc>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180,000 (2)</w:t>
            </w: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22"/>
                <w:szCs w:val="22"/>
                <w:color w:val="auto"/>
              </w:rPr>
              <w:t>3,023,972.6 (3)</w:t>
            </w:r>
          </w:p>
        </w:tc>
        <w:tc>
          <w:tcPr>
            <w:tcW w:w="0" w:type="dxa"/>
            <w:vAlign w:val="bottom"/>
          </w:tcPr>
          <w:p>
            <w:pPr>
              <w:spacing w:after="0"/>
              <w:rPr>
                <w:sz w:val="1"/>
                <w:szCs w:val="1"/>
                <w:color w:val="auto"/>
              </w:rPr>
            </w:pPr>
          </w:p>
        </w:tc>
      </w:tr>
      <w:tr>
        <w:trPr>
          <w:trHeight w:val="277"/>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right w:val="single" w:sz="8" w:color="auto"/>
            </w:tcBorders>
          </w:tcPr>
          <w:p>
            <w:pPr>
              <w:spacing w:after="0"/>
              <w:rPr>
                <w:sz w:val="24"/>
                <w:szCs w:val="24"/>
                <w:color w:val="auto"/>
              </w:rPr>
            </w:pPr>
          </w:p>
        </w:tc>
        <w:tc>
          <w:tcPr>
            <w:tcW w:w="10580" w:type="dxa"/>
            <w:vAlign w:val="bottom"/>
            <w:gridSpan w:val="4"/>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right w:val="single" w:sz="8" w:color="auto"/>
            </w:tcBorders>
            <w:gridSpan w:val="2"/>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13.9% (4)</w:t>
            </w: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60" w:hanging="424"/>
        <w:spacing w:after="0" w:line="253"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100,000 shares owned directly by Mr. Pickup; (ii) 300,000 shares owned directly by Pickup Grandchildren’s Trust; (iii) 100,000 shares owned directly by Pickup Living Trust; (iv) 1,793,796 shares owned directly by Vintage Trust II, dated July 19, 2007 (the “Trust”); (v) 465,117 shares of the Company’s Common Stock that the Trust has the right to acquire at any time by converting into such shares the outstanding principal balance of the Convertible Promissory Note Due 2020 issued to the Trust by the Company, at the initial conversion price of $21.50 per share, over all of which shares Mr. Pickup exercises sole investment and voting power; and (vi) 85,059.6 shares that the Trust may acquire at any time after October 15, 2020 upon exercise (at an exercise price of $2.97 per share) of a Warrant to Purchase Common Stock owned directly by the Trust.</w:t>
      </w:r>
    </w:p>
    <w:p>
      <w:pPr>
        <w:spacing w:after="0" w:line="2"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100,000 shares owned directly by Plus Four Equity Partners, L.P.; and (ii) 80,000 shares owned directly by Vintage Trust, dated October 28, 1993, over all of which shares Mr. Pickup shares investment and voting power.</w:t>
      </w: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sum of all shares referenced in footnotes (1) and (2) above.</w:t>
      </w:r>
    </w:p>
    <w:p>
      <w:pPr>
        <w:spacing w:after="0" w:line="9"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used herein and in the rest of this Amendment No. 8 to Schedule 13G are calculated based upon the sum of: (i) 21,229,857 shares of the Company’s Common Stock outstanding as of November 4, 2020, as reported in the Company’s quarterly report on Form 10-Q filed on November 6, 2020; (ii) 465,117, the number of shares of the Company’s Common Stock that the Trust has the right to acquire at any time by converting into such shares the outstanding principal balance of the Convertible Promissory Note Due 2020 issued to the Trust by the Company, at the initial conversion price of $21.50 per share; and (iii) 85,059.6, the number of shares that the Trust may acquire at any time after October 15, 2020 upon exercise (at an exercise price of $2.97 per share) of a Warrant to Purchase Common Stock owned directly by the Trust.</w:t>
      </w:r>
    </w:p>
    <w:p>
      <w:pPr>
        <w:sectPr>
          <w:pgSz w:w="11900" w:h="16838" w:orient="portrait"/>
          <w:cols w:equalWidth="0" w:num="1">
            <w:col w:w="11024"/>
          </w:cols>
          <w:pgMar w:left="436" w:top="266"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45254P508</w:t>
      </w:r>
    </w:p>
    <w:p>
      <w:pPr>
        <w:spacing w:after="0" w:line="148" w:lineRule="exact"/>
        <w:rPr>
          <w:sz w:val="20"/>
          <w:szCs w:val="20"/>
          <w:color w:val="auto"/>
        </w:rPr>
      </w:pPr>
    </w:p>
    <w:p>
      <w:pPr>
        <w:ind w:left="244"/>
        <w:spacing w:after="0"/>
        <w:tabs>
          <w:tab w:leader="none" w:pos="524"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03415" cy="5237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37480"/>
                    </a:xfrm>
                    <a:prstGeom prst="rect">
                      <a:avLst/>
                    </a:prstGeom>
                    <a:noFill/>
                  </pic:spPr>
                </pic:pic>
              </a:graphicData>
            </a:graphic>
          </wp:anchor>
        </w:drawing>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4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Vintage Trust II, dated July 19, 2007</w:t>
            </w:r>
          </w:p>
        </w:tc>
        <w:tc>
          <w:tcPr>
            <w:tcW w:w="0" w:type="dxa"/>
            <w:vAlign w:val="bottom"/>
          </w:tcPr>
          <w:p>
            <w:pPr>
              <w:spacing w:after="0"/>
              <w:rPr>
                <w:sz w:val="1"/>
                <w:szCs w:val="1"/>
                <w:color w:val="auto"/>
              </w:rPr>
            </w:pPr>
          </w:p>
        </w:tc>
      </w:tr>
      <w:tr>
        <w:trPr>
          <w:trHeight w:val="163"/>
        </w:trPr>
        <w:tc>
          <w:tcPr>
            <w:tcW w:w="4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0580" w:type="dxa"/>
            <w:vAlign w:val="bottom"/>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94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9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SEC Use Only</w:t>
            </w:r>
          </w:p>
        </w:tc>
        <w:tc>
          <w:tcPr>
            <w:tcW w:w="9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5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2"/>
              </w:rPr>
              <w:t>Nevada</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200" w:type="dxa"/>
            <w:vAlign w:val="bottom"/>
            <w:tcBorders>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2,343,972.6 (1)</w:t>
            </w: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2"/>
            <w:vMerge w:val="continue"/>
          </w:tcPr>
          <w:p>
            <w:pPr>
              <w:spacing w:after="0"/>
              <w:rPr>
                <w:sz w:val="13"/>
                <w:szCs w:val="13"/>
                <w:color w:val="auto"/>
              </w:rPr>
            </w:pPr>
          </w:p>
        </w:tc>
        <w:tc>
          <w:tcPr>
            <w:tcW w:w="320" w:type="dxa"/>
            <w:vAlign w:val="bottom"/>
            <w:tcBorders>
              <w:right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3"/>
                <w:szCs w:val="13"/>
                <w:color w:val="auto"/>
              </w:rPr>
            </w:pPr>
          </w:p>
        </w:tc>
        <w:tc>
          <w:tcPr>
            <w:tcW w:w="94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760" w:type="dxa"/>
            <w:vAlign w:val="bottom"/>
            <w:tcBorders>
              <w:right w:val="single" w:sz="8" w:color="auto"/>
            </w:tcBorders>
          </w:tcPr>
          <w:p>
            <w:pPr>
              <w:jc w:val="center"/>
              <w:ind w:right="204"/>
              <w:spacing w:after="0"/>
              <w:rPr>
                <w:sz w:val="20"/>
                <w:szCs w:val="20"/>
                <w:color w:val="auto"/>
              </w:rPr>
            </w:pPr>
            <w:r>
              <w:rPr>
                <w:rFonts w:ascii="Times New Roman" w:cs="Times New Roman" w:eastAsia="Times New Roman" w:hAnsi="Times New Roman"/>
                <w:sz w:val="18"/>
                <w:szCs w:val="18"/>
                <w:color w:val="auto"/>
                <w:w w:val="95"/>
              </w:rPr>
              <w:t>Shares</w:t>
            </w:r>
          </w:p>
        </w:tc>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0" w:type="dxa"/>
            <w:vAlign w:val="bottom"/>
            <w:tcBorders>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06"/>
        </w:trPr>
        <w:tc>
          <w:tcPr>
            <w:tcW w:w="1200" w:type="dxa"/>
            <w:vAlign w:val="bottom"/>
            <w:tcBorders>
              <w:right w:val="single" w:sz="8" w:color="auto"/>
            </w:tcBorders>
            <w:gridSpan w:val="2"/>
            <w:vMerge w:val="restart"/>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20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6"/>
                <w:szCs w:val="6"/>
                <w:color w:val="auto"/>
              </w:rPr>
            </w:pPr>
          </w:p>
        </w:tc>
        <w:tc>
          <w:tcPr>
            <w:tcW w:w="9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760" w:type="dxa"/>
            <w:vAlign w:val="bottom"/>
            <w:tcBorders>
              <w:right w:val="single" w:sz="8" w:color="auto"/>
            </w:tcBorders>
            <w:vMerge w:val="restart"/>
          </w:tcPr>
          <w:p>
            <w:pPr>
              <w:jc w:val="center"/>
              <w:ind w:right="224"/>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40" w:type="dxa"/>
            <w:vAlign w:val="bottom"/>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2,343,972.6 (1)</w:t>
            </w:r>
          </w:p>
        </w:tc>
        <w:tc>
          <w:tcPr>
            <w:tcW w:w="0" w:type="dxa"/>
            <w:vAlign w:val="bottom"/>
          </w:tcPr>
          <w:p>
            <w:pPr>
              <w:spacing w:after="0"/>
              <w:rPr>
                <w:sz w:val="1"/>
                <w:szCs w:val="1"/>
                <w:color w:val="auto"/>
              </w:rPr>
            </w:pPr>
          </w:p>
        </w:tc>
      </w:tr>
      <w:tr>
        <w:trPr>
          <w:trHeight w:val="207"/>
        </w:trPr>
        <w:tc>
          <w:tcPr>
            <w:tcW w:w="120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Person With:</w:t>
            </w:r>
          </w:p>
        </w:tc>
        <w:tc>
          <w:tcPr>
            <w:tcW w:w="3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80"/>
        </w:trPr>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9"/>
        </w:trPr>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5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0"/>
        </w:trPr>
        <w:tc>
          <w:tcPr>
            <w:tcW w:w="4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2,343,972.6</w:t>
            </w: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580" w:type="dxa"/>
            <w:vAlign w:val="bottom"/>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10.8% (2)</w:t>
            </w:r>
          </w:p>
        </w:tc>
        <w:tc>
          <w:tcPr>
            <w:tcW w:w="10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5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4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20" w:hanging="424"/>
        <w:spacing w:after="0" w:line="254"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1,793,796 shares owned directly by Vintage Trust II, dated July 19, 2007 (the “Trust”); (ii) 465,117 shares of the Company’s Common Stock that the Trust has the right to acquire at any time by converting into such shares the outstanding principal balance of the Convertible Promissory Note Due 2020 issued to the Trust by the Company, at the initial conversion price of $21.50 per share, over all of which shares Mr. Pickup exercises sole investment and voting power; and (iii) 85,059.6 shares that the Trust may acquire at any time after October 15, 2020 upon exercise (at an exercise price of $2.97 per share) of a Warrant to Purchase Common Stock owned directly by the Trust.</w:t>
      </w:r>
    </w:p>
    <w:p>
      <w:pPr>
        <w:spacing w:after="0" w:line="3"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used herein and in the rest of this Amendment No. 8 to Schedule 13G are calculated based upon the sum of: (i) 21,229,857 shares of the Company’s Common Stock outstanding as of November 4, 2020, as reported in the Company’s quarterly report on Form 10-Q filed on November 6, 2020; (ii) 465,117, the number of shares of the Company’s Common Stock that the Trust has the right to acquire at any time by converting into such shares the outstanding principal balance of the Convertible Promissory Note Due 2020 issued to the Trust by the Company, at the initial conversion price of $21.50 per share; and (iii) 85,059.6, the number of shares that the Trust may acquire at any time after October 15, 2020 upon exercise (at an exercise price of $2.97 per share) of a Warrant to Purchase Common Stock owned directly by the Trust.</w:t>
      </w:r>
    </w:p>
    <w:p>
      <w:pPr>
        <w:sectPr>
          <w:pgSz w:w="11900" w:h="16838" w:orient="portrait"/>
          <w:cols w:equalWidth="0" w:num="1">
            <w:col w:w="11024"/>
          </w:cols>
          <w:pgMar w:left="436" w:top="266" w:right="439" w:bottom="1440" w:gutter="0" w:footer="0" w:header="0"/>
        </w:sectPr>
      </w:pPr>
    </w:p>
    <w:bookmarkStart w:id="3" w:name="page4"/>
    <w:bookmarkEnd w:id="3"/>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Amendment No. 8 to Schedule 13G amends the Schedule 13G originally filed by Todd M. Pickup with the Securities and Exchange Commission on April 19, 2013, as amended by Amendment No. 1 thereto filed on April 30, 2013, as further amended by Amendment No. 2 thereto filed on February 14, 2014, as further amended by Amendment No. 3 thereto filed on February 12, 2015, as further amended by Amendment No. 4 thereto filed on February 9, 2016, as further amended by Amendment No. 5 thereto filed on January 25, 2017, as further amended by Amendment No. 6 thereto filed on February 14, 2018, and as further amended by Amendment No. 7 thereto filed on February 13, 2019.</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31"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name of the issuer is Impac Mortgage Holdings, Inc. (the “Company”).</w:t>
      </w:r>
    </w:p>
    <w:p>
      <w:pPr>
        <w:spacing w:after="0" w:line="248"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principal executive offices are located at 19500 Jamboree Road, Irvine, California 92612.</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121"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This Amendment No. 8 to Schedule 13G is being filed by Todd M. Pickup and Vintage Trust II, dated July 19, 2007 (the “Trust”), with respect to the Common Stock, par value $0.01 per share, of the Company. Mr. Pickup is the Trustee of the Trust, and may be deemed to be the beneficial owner of the shares of Common Stock owned by the Trust.</w:t>
      </w:r>
    </w:p>
    <w:p>
      <w:pPr>
        <w:spacing w:after="0" w:line="199"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or principal business office or, if none, residence:</w:t>
      </w:r>
    </w:p>
    <w:p>
      <w:pPr>
        <w:spacing w:after="0" w:line="12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Todd M. Pickup is 1400 Newport Center Drive, Suite 230, Newport Beach, California 92660. The address of the principal business office of the Trust is 1400 Newport Center Drive, Suite 230, Newport Beach, California 92660.</w:t>
      </w:r>
    </w:p>
    <w:p>
      <w:pPr>
        <w:spacing w:after="0" w:line="185"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Todd M. Pickup is a U.S. citizen. The Trust is a trust organized under the laws of the State of Nevada.</w:t>
      </w:r>
    </w:p>
    <w:p>
      <w:pPr>
        <w:spacing w:after="0" w:line="248" w:lineRule="exact"/>
        <w:rPr>
          <w:rFonts w:ascii="Times New Roman" w:cs="Times New Roman" w:eastAsia="Times New Roman" w:hAnsi="Times New Roman"/>
          <w:sz w:val="18"/>
          <w:szCs w:val="18"/>
          <w:b w:val="1"/>
          <w:bCs w:val="1"/>
          <w:color w:val="auto"/>
        </w:rPr>
      </w:pPr>
    </w:p>
    <w:p>
      <w:pPr>
        <w:ind w:left="444" w:right="8480" w:hanging="444"/>
        <w:spacing w:after="0" w:line="412" w:lineRule="auto"/>
        <w:tabs>
          <w:tab w:leader="none" w:pos="43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w:t>
      </w:r>
    </w:p>
    <w:p>
      <w:pPr>
        <w:spacing w:after="0" w:line="72" w:lineRule="exact"/>
        <w:rPr>
          <w:rFonts w:ascii="Times New Roman" w:cs="Times New Roman" w:eastAsia="Times New Roman" w:hAnsi="Times New Roman"/>
          <w:sz w:val="18"/>
          <w:szCs w:val="18"/>
          <w:b w:val="1"/>
          <w:bCs w:val="1"/>
          <w:color w:val="auto"/>
        </w:rPr>
      </w:pPr>
    </w:p>
    <w:p>
      <w:pPr>
        <w:ind w:left="444" w:right="9620" w:hanging="444"/>
        <w:spacing w:after="0" w:line="450" w:lineRule="auto"/>
        <w:tabs>
          <w:tab w:leader="none" w:pos="436"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No.: </w:t>
      </w:r>
      <w:r>
        <w:rPr>
          <w:rFonts w:ascii="Times New Roman" w:cs="Times New Roman" w:eastAsia="Times New Roman" w:hAnsi="Times New Roman"/>
          <w:sz w:val="17"/>
          <w:szCs w:val="17"/>
          <w:color w:val="auto"/>
        </w:rPr>
        <w:t>45254P508</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Todd M. Pickup</w:t>
      </w:r>
    </w:p>
    <w:p>
      <w:pPr>
        <w:spacing w:after="0" w:line="225" w:lineRule="exact"/>
        <w:rPr>
          <w:sz w:val="20"/>
          <w:szCs w:val="20"/>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 beneficially owned: 3,023,972.6</w:t>
      </w:r>
    </w:p>
    <w:p>
      <w:pPr>
        <w:spacing w:after="0" w:line="225"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13.9%</w:t>
      </w:r>
    </w:p>
    <w:p>
      <w:pPr>
        <w:spacing w:after="0" w:line="225"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b w:val="1"/>
          <w:bCs w:val="1"/>
          <w:color w:val="auto"/>
        </w:rPr>
      </w:pPr>
    </w:p>
    <w:p>
      <w:pPr>
        <w:ind w:left="664" w:hanging="224"/>
        <w:spacing w:after="0"/>
        <w:tabs>
          <w:tab w:leader="none" w:pos="664"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power to vote or to direct the vote: 2,843,972.6</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vote or to direct the vote: 180,000</w:t>
      </w:r>
    </w:p>
    <w:p>
      <w:pPr>
        <w:spacing w:after="0" w:line="225" w:lineRule="exact"/>
        <w:rPr>
          <w:rFonts w:ascii="Times New Roman" w:cs="Times New Roman" w:eastAsia="Times New Roman" w:hAnsi="Times New Roman"/>
          <w:sz w:val="18"/>
          <w:szCs w:val="18"/>
          <w:b w:val="1"/>
          <w:bCs w:val="1"/>
          <w:color w:val="auto"/>
        </w:rPr>
      </w:pPr>
    </w:p>
    <w:p>
      <w:pPr>
        <w:ind w:left="764" w:hanging="324"/>
        <w:spacing w:after="0"/>
        <w:tabs>
          <w:tab w:leader="none" w:pos="764"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power to dispose or to direct the disposition of: 2,843,972.6</w:t>
      </w:r>
    </w:p>
    <w:p>
      <w:pPr>
        <w:spacing w:after="0" w:line="225" w:lineRule="exact"/>
        <w:rPr>
          <w:rFonts w:ascii="Times New Roman" w:cs="Times New Roman" w:eastAsia="Times New Roman" w:hAnsi="Times New Roman"/>
          <w:sz w:val="18"/>
          <w:szCs w:val="18"/>
          <w:b w:val="1"/>
          <w:bCs w:val="1"/>
          <w:color w:val="auto"/>
        </w:rPr>
      </w:pPr>
    </w:p>
    <w:p>
      <w:pPr>
        <w:ind w:left="744" w:hanging="304"/>
        <w:spacing w:after="0"/>
        <w:tabs>
          <w:tab w:leader="none" w:pos="744"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dispose or to direct the disposition of: 180,000</w:t>
      </w:r>
    </w:p>
    <w:p>
      <w:pPr>
        <w:sectPr>
          <w:pgSz w:w="11900" w:h="16838" w:orient="portrait"/>
          <w:cols w:equalWidth="0" w:num="1">
            <w:col w:w="10964"/>
          </w:cols>
          <w:pgMar w:left="436" w:top="270" w:right="49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 Vintage Trust II, dated July 19, 2007</w:t>
      </w:r>
    </w:p>
    <w:p>
      <w:pPr>
        <w:spacing w:after="0" w:line="225" w:lineRule="exact"/>
        <w:rPr>
          <w:sz w:val="20"/>
          <w:szCs w:val="20"/>
          <w:color w:val="auto"/>
        </w:rPr>
      </w:pPr>
    </w:p>
    <w:p>
      <w:pPr>
        <w:ind w:left="264" w:hanging="264"/>
        <w:spacing w:after="0"/>
        <w:tabs>
          <w:tab w:leader="none" w:pos="26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 beneficially owned: 2,343,972.6</w:t>
      </w:r>
    </w:p>
    <w:p>
      <w:pPr>
        <w:spacing w:after="0" w:line="225"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10.8%</w:t>
      </w:r>
    </w:p>
    <w:p>
      <w:pPr>
        <w:spacing w:after="0" w:line="225"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b w:val="1"/>
          <w:bCs w:val="1"/>
          <w:color w:val="auto"/>
        </w:rPr>
      </w:pPr>
    </w:p>
    <w:p>
      <w:pPr>
        <w:ind w:left="664" w:hanging="224"/>
        <w:spacing w:after="0"/>
        <w:tabs>
          <w:tab w:leader="none" w:pos="664"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power to vote or to direct the vote: 2,343,972.6</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b w:val="1"/>
          <w:bCs w:val="1"/>
          <w:color w:val="auto"/>
        </w:rPr>
      </w:pPr>
    </w:p>
    <w:p>
      <w:pPr>
        <w:ind w:left="764" w:hanging="324"/>
        <w:spacing w:after="0"/>
        <w:tabs>
          <w:tab w:leader="none" w:pos="764"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power to dispose or to direct the disposition of: 2,343,972.6</w:t>
      </w:r>
    </w:p>
    <w:p>
      <w:pPr>
        <w:spacing w:after="0" w:line="225" w:lineRule="exact"/>
        <w:rPr>
          <w:rFonts w:ascii="Times New Roman" w:cs="Times New Roman" w:eastAsia="Times New Roman" w:hAnsi="Times New Roman"/>
          <w:sz w:val="18"/>
          <w:szCs w:val="18"/>
          <w:b w:val="1"/>
          <w:bCs w:val="1"/>
          <w:color w:val="auto"/>
        </w:rPr>
      </w:pPr>
    </w:p>
    <w:p>
      <w:pPr>
        <w:ind w:left="744" w:hanging="304"/>
        <w:spacing w:after="0"/>
        <w:tabs>
          <w:tab w:leader="none" w:pos="744"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dispose or to direct the disposition of: 0</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5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924"/>
          </w:cols>
          <w:pgMar w:left="436" w:top="270" w:right="53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11, 2021</w:t>
      </w:r>
    </w:p>
    <w:p>
      <w:pPr>
        <w:spacing w:after="0" w:line="25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Todd M. Pickup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TODD M. PICKUP</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VINTAGE TRUST II, DATED JULY 19, 2007</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Todd M. Pickup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Todd M. Pickup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Trustee</w:t>
      </w:r>
    </w:p>
    <w:p>
      <w:pPr>
        <w:sectPr>
          <w:pgSz w:w="11900" w:h="16838" w:orient="portrait"/>
          <w:cols w:equalWidth="0" w:num="1">
            <w:col w:w="10900"/>
          </w:cols>
          <w:pgMar w:left="440" w:top="266" w:right="55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JOINT FILING AGREEMENT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acknowledge and agree that the foregoing statement on Amendment No. 8 to Schedule 13G with respect to the Common Stock is filed on behalf of each of the undersigned and that all subsequent amendments to this statement on Amendment No. 8 to Schedule 13G shall be filed on behalf of each of the undersigned without the necessity of filing additional joint acquisition statements. Additionally, the undersigned acknowledge and agree to the inclusion of this Agreement as an Exhibit to this Amendment No. 8 to Schedule 13G.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11, 2021</w:t>
      </w:r>
    </w:p>
    <w:p>
      <w:pPr>
        <w:spacing w:after="0" w:line="25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Todd M. Pickup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TODD M. PICKUP</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VINTAGE TRUST II, DATED JULY 19, 2007</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Todd M. Pickup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Todd M. Pickup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Trustee</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Letter"/>
      <w:start w:val="1"/>
    </w:lvl>
    <w:lvl w:ilvl="1">
      <w:lvlJc w:val="left"/>
      <w:lvlText w:val="(%2)"/>
      <w:numFmt w:val="lowerRoman"/>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2021-02-11T14:17:29Z</dcterms:created>
  <dcterms:modified xsi:type="dcterms:W3CDTF">2021-02-11T14:17:29Z</dcterms:modified>
</cp:coreProperties>
</file>